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Lesson 2: Possible Student Answers/Explanations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task: </w:t>
      </w:r>
    </w:p>
    <w:p w:rsidR="00000000" w:rsidDel="00000000" w:rsidP="00000000" w:rsidRDefault="00000000" w:rsidRPr="00000000" w14:paraId="00000004">
      <w:pPr>
        <w:ind w:firstLine="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5">
      <w:pPr>
        <w:ind w:firstLine="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bird that inhabits the sagebrush steppe ecosystem prefers to eat larger seeds (the sum of 10 seeds is larger than 1.5 mg) and leaves the smaller seeds alone. If there are many birds around eating the larger seeds, only the smaller seeds remain to germinate, and eventually grow into adult sagebrush plants. Take a look at the seed weight data below and determine which of these populations would be the most successful at surviving hungry birds based on these birds’ feeding preferences. </w:t>
      </w:r>
    </w:p>
    <w:p w:rsidR="00000000" w:rsidDel="00000000" w:rsidP="00000000" w:rsidRDefault="00000000" w:rsidRPr="00000000" w14:paraId="00000006">
      <w:pPr>
        <w:ind w:firstLine="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ind w:firstLine="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Within your group you will explore the seed weight data associated with this scenario. Not only should you identify which population would be the most successful at surviving based on the birds’ feeding preferences, but you and your group members should also discuss why that population will be the most successful. </w:t>
      </w:r>
      <w:r w:rsidDel="00000000" w:rsidR="00000000" w:rsidRPr="00000000">
        <w:rPr>
          <w:rFonts w:ascii="Calibri" w:cs="Calibri" w:eastAsia="Calibri" w:hAnsi="Calibri"/>
          <w:b w:val="1"/>
          <w:sz w:val="24"/>
          <w:szCs w:val="24"/>
          <w:rtl w:val="0"/>
        </w:rPr>
        <w:t xml:space="preserve">What is it about the seed weights in a certain population that will allow them to be more successful in survival?</w:t>
      </w:r>
      <w:r w:rsidDel="00000000" w:rsidR="00000000" w:rsidRPr="00000000">
        <w:rPr>
          <w:rFonts w:ascii="Calibri" w:cs="Calibri" w:eastAsia="Calibri" w:hAnsi="Calibri"/>
          <w:sz w:val="24"/>
          <w:szCs w:val="24"/>
          <w:rtl w:val="0"/>
        </w:rPr>
        <w:t xml:space="preserve"> While you will explore this scenario in groups during class, you will need to individually write up responses (that include a drawing component). To investigate this question, consider the role that sampling location can have on seed weight (Table 1). Then based on your findings, determine a claim supported by the evidence you found in the data. Lastly, provide reasoning for your claim and evaluate your claim. </w:t>
      </w:r>
    </w:p>
    <w:p w:rsidR="00000000" w:rsidDel="00000000" w:rsidP="00000000" w:rsidRDefault="00000000" w:rsidRPr="00000000" w14:paraId="00000008">
      <w:pPr>
        <w:ind w:left="720" w:firstLine="0"/>
        <w:rPr/>
      </w:pPr>
      <w:r w:rsidDel="00000000" w:rsidR="00000000" w:rsidRPr="00000000">
        <w:rPr>
          <w:rtl w:val="0"/>
        </w:rPr>
      </w:r>
    </w:p>
    <w:p w:rsidR="00000000" w:rsidDel="00000000" w:rsidP="00000000" w:rsidRDefault="00000000" w:rsidRPr="00000000" w14:paraId="00000009">
      <w:pPr>
        <w:ind w:left="0" w:firstLine="0"/>
        <w:rPr/>
      </w:pPr>
      <w:r w:rsidDel="00000000" w:rsidR="00000000" w:rsidRPr="00000000">
        <w:rPr>
          <w:rtl w:val="0"/>
        </w:rPr>
      </w:r>
    </w:p>
    <w:p w:rsidR="00000000" w:rsidDel="00000000" w:rsidP="00000000" w:rsidRDefault="00000000" w:rsidRPr="00000000" w14:paraId="0000000A">
      <w:pPr>
        <w:ind w:left="0" w:firstLine="0"/>
        <w:rPr/>
      </w:pPr>
      <w:r w:rsidDel="00000000" w:rsidR="00000000" w:rsidRPr="00000000">
        <w:rPr>
          <w:rtl w:val="0"/>
        </w:rPr>
        <w:t xml:space="preserve">Oregon, Crooked River Individuals </w:t>
      </w:r>
    </w:p>
    <w:p w:rsidR="00000000" w:rsidDel="00000000" w:rsidP="00000000" w:rsidRDefault="00000000" w:rsidRPr="00000000" w14:paraId="0000000B">
      <w:pPr>
        <w:ind w:left="0" w:firstLine="0"/>
        <w:rPr/>
      </w:pPr>
      <w:r w:rsidDel="00000000" w:rsidR="00000000" w:rsidRPr="00000000">
        <w:rPr>
          <w:rtl w:val="0"/>
        </w:rPr>
        <w:tab/>
      </w:r>
      <w:r w:rsidDel="00000000" w:rsidR="00000000" w:rsidRPr="00000000">
        <w:rPr>
          <w:rtl w:val="0"/>
        </w:rPr>
      </w:r>
    </w:p>
    <w:p w:rsidR="00000000" w:rsidDel="00000000" w:rsidP="00000000" w:rsidRDefault="00000000" w:rsidRPr="00000000" w14:paraId="0000000C">
      <w:pP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ab/>
        <w:t xml:space="preserve">May ask themselves to group the seed weights by which ones are below 1.5 mg and which ones are larger than 1.5 mg. For Crooked River, all of the individuals may not survive at a high rate, since the birds in this area prefer to eat seeds larger than 1.5 mg. </w:t>
      </w:r>
    </w:p>
    <w:p w:rsidR="00000000" w:rsidDel="00000000" w:rsidP="00000000" w:rsidRDefault="00000000" w:rsidRPr="00000000" w14:paraId="0000000D">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0E">
      <w:pP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They may also make a note about the variation/range of these individual weights, the range is from 1.636-2.199 mg. Maybe they might also calculate a standard deviation (or a simpler version of a SD) </w:t>
      </w:r>
    </w:p>
    <w:p w:rsidR="00000000" w:rsidDel="00000000" w:rsidP="00000000" w:rsidRDefault="00000000" w:rsidRPr="00000000" w14:paraId="0000000F">
      <w:pP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To find the standard deviation: </w:t>
      </w:r>
    </w:p>
    <w:p w:rsidR="00000000" w:rsidDel="00000000" w:rsidP="00000000" w:rsidRDefault="00000000" w:rsidRPr="00000000" w14:paraId="00000010">
      <w:pPr>
        <w:numPr>
          <w:ilvl w:val="0"/>
          <w:numId w:val="2"/>
        </w:numPr>
        <w:ind w:left="720" w:hanging="360"/>
        <w:rPr>
          <w:rFonts w:ascii="Calibri" w:cs="Calibri" w:eastAsia="Calibri" w:hAnsi="Calibri"/>
          <w:i w:val="1"/>
          <w:sz w:val="24"/>
          <w:szCs w:val="24"/>
          <w:u w:val="none"/>
        </w:rPr>
      </w:pPr>
      <w:r w:rsidDel="00000000" w:rsidR="00000000" w:rsidRPr="00000000">
        <w:rPr>
          <w:rFonts w:ascii="Calibri" w:cs="Calibri" w:eastAsia="Calibri" w:hAnsi="Calibri"/>
          <w:i w:val="1"/>
          <w:sz w:val="24"/>
          <w:szCs w:val="24"/>
          <w:rtl w:val="0"/>
        </w:rPr>
        <w:t xml:space="preserve">Find the mean </w:t>
      </w:r>
    </w:p>
    <w:p w:rsidR="00000000" w:rsidDel="00000000" w:rsidP="00000000" w:rsidRDefault="00000000" w:rsidRPr="00000000" w14:paraId="00000011">
      <w:pPr>
        <w:numPr>
          <w:ilvl w:val="0"/>
          <w:numId w:val="2"/>
        </w:numPr>
        <w:ind w:left="720" w:hanging="360"/>
        <w:rPr>
          <w:rFonts w:ascii="Calibri" w:cs="Calibri" w:eastAsia="Calibri" w:hAnsi="Calibri"/>
          <w:i w:val="1"/>
          <w:sz w:val="24"/>
          <w:szCs w:val="24"/>
          <w:u w:val="none"/>
        </w:rPr>
      </w:pPr>
      <w:r w:rsidDel="00000000" w:rsidR="00000000" w:rsidRPr="00000000">
        <w:rPr>
          <w:rFonts w:ascii="Calibri" w:cs="Calibri" w:eastAsia="Calibri" w:hAnsi="Calibri"/>
          <w:i w:val="1"/>
          <w:sz w:val="24"/>
          <w:szCs w:val="24"/>
          <w:rtl w:val="0"/>
        </w:rPr>
        <w:t xml:space="preserve">Then for each number, subtract the mean and square the result </w:t>
      </w:r>
    </w:p>
    <w:p w:rsidR="00000000" w:rsidDel="00000000" w:rsidP="00000000" w:rsidRDefault="00000000" w:rsidRPr="00000000" w14:paraId="00000012">
      <w:pPr>
        <w:numPr>
          <w:ilvl w:val="0"/>
          <w:numId w:val="2"/>
        </w:numPr>
        <w:ind w:left="720" w:hanging="360"/>
        <w:rPr>
          <w:rFonts w:ascii="Calibri" w:cs="Calibri" w:eastAsia="Calibri" w:hAnsi="Calibri"/>
          <w:i w:val="1"/>
          <w:sz w:val="24"/>
          <w:szCs w:val="24"/>
          <w:u w:val="none"/>
        </w:rPr>
      </w:pPr>
      <w:r w:rsidDel="00000000" w:rsidR="00000000" w:rsidRPr="00000000">
        <w:rPr>
          <w:rFonts w:ascii="Calibri" w:cs="Calibri" w:eastAsia="Calibri" w:hAnsi="Calibri"/>
          <w:i w:val="1"/>
          <w:sz w:val="24"/>
          <w:szCs w:val="24"/>
          <w:rtl w:val="0"/>
        </w:rPr>
        <w:t xml:space="preserve">Then take the mean of the squared differences </w:t>
      </w:r>
    </w:p>
    <w:p w:rsidR="00000000" w:rsidDel="00000000" w:rsidP="00000000" w:rsidRDefault="00000000" w:rsidRPr="00000000" w14:paraId="00000013">
      <w:pPr>
        <w:numPr>
          <w:ilvl w:val="0"/>
          <w:numId w:val="2"/>
        </w:numPr>
        <w:ind w:left="720" w:hanging="360"/>
        <w:rPr>
          <w:rFonts w:ascii="Calibri" w:cs="Calibri" w:eastAsia="Calibri" w:hAnsi="Calibri"/>
          <w:i w:val="1"/>
          <w:sz w:val="24"/>
          <w:szCs w:val="24"/>
          <w:u w:val="none"/>
        </w:rPr>
      </w:pPr>
      <w:r w:rsidDel="00000000" w:rsidR="00000000" w:rsidRPr="00000000">
        <w:rPr>
          <w:rFonts w:ascii="Calibri" w:cs="Calibri" w:eastAsia="Calibri" w:hAnsi="Calibri"/>
          <w:i w:val="1"/>
          <w:sz w:val="24"/>
          <w:szCs w:val="24"/>
          <w:rtl w:val="0"/>
        </w:rPr>
        <w:t xml:space="preserve">Take the square root of that and that is the SD. </w:t>
      </w:r>
    </w:p>
    <w:tbl>
      <w:tblPr>
        <w:tblStyle w:val="Table1"/>
        <w:tblW w:w="1088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60"/>
        <w:gridCol w:w="1360"/>
        <w:gridCol w:w="1360"/>
        <w:gridCol w:w="1360"/>
        <w:gridCol w:w="1360"/>
        <w:gridCol w:w="1360"/>
        <w:gridCol w:w="1360"/>
        <w:gridCol w:w="1360"/>
        <w:tblGridChange w:id="0">
          <w:tblGrid>
            <w:gridCol w:w="1360"/>
            <w:gridCol w:w="1360"/>
            <w:gridCol w:w="1360"/>
            <w:gridCol w:w="1360"/>
            <w:gridCol w:w="1360"/>
            <w:gridCol w:w="1360"/>
            <w:gridCol w:w="1360"/>
            <w:gridCol w:w="1360"/>
          </w:tblGrid>
        </w:tblGridChange>
      </w:tblGrid>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14">
            <w:pPr>
              <w:widowControl w:val="0"/>
              <w:jc w:val="center"/>
              <w:rPr>
                <w:rFonts w:ascii="Calibri" w:cs="Calibri" w:eastAsia="Calibri" w:hAnsi="Calibri"/>
                <w:sz w:val="24"/>
                <w:szCs w:val="24"/>
                <w:shd w:fill="ffe599" w:val="clear"/>
              </w:rPr>
            </w:pPr>
            <w:r w:rsidDel="00000000" w:rsidR="00000000" w:rsidRPr="00000000">
              <w:rPr>
                <w:rFonts w:ascii="Calibri" w:cs="Calibri" w:eastAsia="Calibri" w:hAnsi="Calibri"/>
                <w:sz w:val="24"/>
                <w:szCs w:val="24"/>
                <w:shd w:fill="ffe599" w:val="clear"/>
                <w:rtl w:val="0"/>
              </w:rPr>
              <w:t xml:space="preserve">1.971</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15">
            <w:pPr>
              <w:widowControl w:val="0"/>
              <w:jc w:val="center"/>
              <w:rPr>
                <w:rFonts w:ascii="Calibri" w:cs="Calibri" w:eastAsia="Calibri" w:hAnsi="Calibri"/>
                <w:sz w:val="24"/>
                <w:szCs w:val="24"/>
                <w:shd w:fill="ffe599" w:val="clear"/>
              </w:rPr>
            </w:pPr>
            <w:r w:rsidDel="00000000" w:rsidR="00000000" w:rsidRPr="00000000">
              <w:rPr>
                <w:rFonts w:ascii="Calibri" w:cs="Calibri" w:eastAsia="Calibri" w:hAnsi="Calibri"/>
                <w:sz w:val="24"/>
                <w:szCs w:val="24"/>
                <w:shd w:fill="ffe599" w:val="clear"/>
                <w:rtl w:val="0"/>
              </w:rPr>
              <w:t xml:space="preserve">1.752</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16">
            <w:pPr>
              <w:widowControl w:val="0"/>
              <w:jc w:val="center"/>
              <w:rPr>
                <w:rFonts w:ascii="Calibri" w:cs="Calibri" w:eastAsia="Calibri" w:hAnsi="Calibri"/>
                <w:sz w:val="24"/>
                <w:szCs w:val="24"/>
                <w:shd w:fill="ffe599" w:val="clear"/>
              </w:rPr>
            </w:pPr>
            <w:r w:rsidDel="00000000" w:rsidR="00000000" w:rsidRPr="00000000">
              <w:rPr>
                <w:rFonts w:ascii="Calibri" w:cs="Calibri" w:eastAsia="Calibri" w:hAnsi="Calibri"/>
                <w:sz w:val="24"/>
                <w:szCs w:val="24"/>
                <w:shd w:fill="ffe599" w:val="clear"/>
                <w:rtl w:val="0"/>
              </w:rPr>
              <w:t xml:space="preserve">1.653</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17">
            <w:pPr>
              <w:widowControl w:val="0"/>
              <w:jc w:val="center"/>
              <w:rPr>
                <w:rFonts w:ascii="Calibri" w:cs="Calibri" w:eastAsia="Calibri" w:hAnsi="Calibri"/>
                <w:sz w:val="24"/>
                <w:szCs w:val="24"/>
                <w:shd w:fill="ffe599" w:val="clear"/>
              </w:rPr>
            </w:pPr>
            <w:r w:rsidDel="00000000" w:rsidR="00000000" w:rsidRPr="00000000">
              <w:rPr>
                <w:rFonts w:ascii="Calibri" w:cs="Calibri" w:eastAsia="Calibri" w:hAnsi="Calibri"/>
                <w:sz w:val="24"/>
                <w:szCs w:val="24"/>
                <w:shd w:fill="ffe599" w:val="clear"/>
                <w:rtl w:val="0"/>
              </w:rPr>
              <w:t xml:space="preserve">2.18</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18">
            <w:pPr>
              <w:widowControl w:val="0"/>
              <w:jc w:val="center"/>
              <w:rPr>
                <w:rFonts w:ascii="Calibri" w:cs="Calibri" w:eastAsia="Calibri" w:hAnsi="Calibri"/>
                <w:sz w:val="24"/>
                <w:szCs w:val="24"/>
                <w:shd w:fill="ffe599" w:val="clear"/>
              </w:rPr>
            </w:pPr>
            <w:r w:rsidDel="00000000" w:rsidR="00000000" w:rsidRPr="00000000">
              <w:rPr>
                <w:rFonts w:ascii="Calibri" w:cs="Calibri" w:eastAsia="Calibri" w:hAnsi="Calibri"/>
                <w:sz w:val="24"/>
                <w:szCs w:val="24"/>
                <w:shd w:fill="ffe599" w:val="clear"/>
                <w:rtl w:val="0"/>
              </w:rPr>
              <w:t xml:space="preserve">1.961</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19">
            <w:pPr>
              <w:widowControl w:val="0"/>
              <w:jc w:val="center"/>
              <w:rPr>
                <w:rFonts w:ascii="Calibri" w:cs="Calibri" w:eastAsia="Calibri" w:hAnsi="Calibri"/>
                <w:sz w:val="24"/>
                <w:szCs w:val="24"/>
                <w:shd w:fill="ffe599" w:val="clear"/>
              </w:rPr>
            </w:pPr>
            <w:r w:rsidDel="00000000" w:rsidR="00000000" w:rsidRPr="00000000">
              <w:rPr>
                <w:rFonts w:ascii="Calibri" w:cs="Calibri" w:eastAsia="Calibri" w:hAnsi="Calibri"/>
                <w:sz w:val="24"/>
                <w:szCs w:val="24"/>
                <w:shd w:fill="ffe599" w:val="clear"/>
                <w:rtl w:val="0"/>
              </w:rPr>
              <w:t xml:space="preserve">2.137</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1A">
            <w:pPr>
              <w:widowControl w:val="0"/>
              <w:jc w:val="center"/>
              <w:rPr>
                <w:rFonts w:ascii="Calibri" w:cs="Calibri" w:eastAsia="Calibri" w:hAnsi="Calibri"/>
                <w:sz w:val="24"/>
                <w:szCs w:val="24"/>
                <w:shd w:fill="ffe599" w:val="clear"/>
              </w:rPr>
            </w:pPr>
            <w:r w:rsidDel="00000000" w:rsidR="00000000" w:rsidRPr="00000000">
              <w:rPr>
                <w:rFonts w:ascii="Calibri" w:cs="Calibri" w:eastAsia="Calibri" w:hAnsi="Calibri"/>
                <w:sz w:val="24"/>
                <w:szCs w:val="24"/>
                <w:shd w:fill="ffe599" w:val="clear"/>
                <w:rtl w:val="0"/>
              </w:rPr>
              <w:t xml:space="preserve">1.707</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1B">
            <w:pPr>
              <w:widowControl w:val="0"/>
              <w:jc w:val="center"/>
              <w:rPr>
                <w:rFonts w:ascii="Calibri" w:cs="Calibri" w:eastAsia="Calibri" w:hAnsi="Calibri"/>
                <w:sz w:val="24"/>
                <w:szCs w:val="24"/>
                <w:shd w:fill="ffe599" w:val="clear"/>
              </w:rPr>
            </w:pPr>
            <w:r w:rsidDel="00000000" w:rsidR="00000000" w:rsidRPr="00000000">
              <w:rPr>
                <w:rFonts w:ascii="Calibri" w:cs="Calibri" w:eastAsia="Calibri" w:hAnsi="Calibri"/>
                <w:sz w:val="24"/>
                <w:szCs w:val="24"/>
                <w:shd w:fill="ffe599" w:val="clear"/>
                <w:rtl w:val="0"/>
              </w:rPr>
              <w:t xml:space="preserve">2.04</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1C">
            <w:pPr>
              <w:widowControl w:val="0"/>
              <w:jc w:val="center"/>
              <w:rPr>
                <w:rFonts w:ascii="Calibri" w:cs="Calibri" w:eastAsia="Calibri" w:hAnsi="Calibri"/>
                <w:sz w:val="24"/>
                <w:szCs w:val="24"/>
                <w:shd w:fill="ffe599" w:val="clear"/>
              </w:rPr>
            </w:pPr>
            <w:r w:rsidDel="00000000" w:rsidR="00000000" w:rsidRPr="00000000">
              <w:rPr>
                <w:rFonts w:ascii="Calibri" w:cs="Calibri" w:eastAsia="Calibri" w:hAnsi="Calibri"/>
                <w:sz w:val="24"/>
                <w:szCs w:val="24"/>
                <w:shd w:fill="ffe599" w:val="clear"/>
                <w:rtl w:val="0"/>
              </w:rPr>
              <w:t xml:space="preserve">1.636</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1D">
            <w:pPr>
              <w:widowControl w:val="0"/>
              <w:jc w:val="center"/>
              <w:rPr>
                <w:rFonts w:ascii="Calibri" w:cs="Calibri" w:eastAsia="Calibri" w:hAnsi="Calibri"/>
                <w:sz w:val="24"/>
                <w:szCs w:val="24"/>
                <w:shd w:fill="ffe599" w:val="clear"/>
              </w:rPr>
            </w:pPr>
            <w:r w:rsidDel="00000000" w:rsidR="00000000" w:rsidRPr="00000000">
              <w:rPr>
                <w:rFonts w:ascii="Calibri" w:cs="Calibri" w:eastAsia="Calibri" w:hAnsi="Calibri"/>
                <w:sz w:val="24"/>
                <w:szCs w:val="24"/>
                <w:shd w:fill="ffe599" w:val="clear"/>
                <w:rtl w:val="0"/>
              </w:rPr>
              <w:t xml:space="preserve">2.199</w:t>
            </w:r>
          </w:p>
        </w:tc>
      </w:tr>
    </w:tbl>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British Columbia, Station </w:t>
      </w:r>
    </w:p>
    <w:p w:rsidR="00000000" w:rsidDel="00000000" w:rsidP="00000000" w:rsidRDefault="00000000" w:rsidRPr="00000000" w14:paraId="00000020">
      <w:pPr>
        <w:rPr/>
      </w:pPr>
      <w:r w:rsidDel="00000000" w:rsidR="00000000" w:rsidRPr="00000000">
        <w:rPr>
          <w:rtl w:val="0"/>
        </w:rPr>
        <w:tab/>
        <w:t xml:space="preserve">They may also do the same thing with this data set. First, seeing which weights are below 1.5 mg, if any.</w:t>
      </w:r>
    </w:p>
    <w:p w:rsidR="00000000" w:rsidDel="00000000" w:rsidP="00000000" w:rsidRDefault="00000000" w:rsidRPr="00000000" w14:paraId="00000021">
      <w:pPr>
        <w:rPr/>
      </w:pPr>
      <w:r w:rsidDel="00000000" w:rsidR="00000000" w:rsidRPr="00000000">
        <w:rPr>
          <w:rtl w:val="0"/>
        </w:rPr>
        <w:tab/>
        <w:t xml:space="preserve">For this data set, I think it is important to note the range and the minimum value. The minimum value in this data set is almost a whole mg more than 1.5 mg, which may make these individuals even more unlikely to survive..</w:t>
      </w:r>
    </w:p>
    <w:p w:rsidR="00000000" w:rsidDel="00000000" w:rsidP="00000000" w:rsidRDefault="00000000" w:rsidRPr="00000000" w14:paraId="00000022">
      <w:pPr>
        <w:rPr>
          <w:rFonts w:ascii="Calibri" w:cs="Calibri" w:eastAsia="Calibri" w:hAnsi="Calibri"/>
          <w:i w:val="1"/>
          <w:sz w:val="24"/>
          <w:szCs w:val="24"/>
        </w:rPr>
      </w:pPr>
      <w:r w:rsidDel="00000000" w:rsidR="00000000" w:rsidRPr="00000000">
        <w:rPr>
          <w:rtl w:val="0"/>
        </w:rPr>
      </w:r>
    </w:p>
    <w:tbl>
      <w:tblPr>
        <w:tblStyle w:val="Table2"/>
        <w:tblW w:w="1088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60"/>
        <w:gridCol w:w="1360"/>
        <w:gridCol w:w="1360"/>
        <w:gridCol w:w="1360"/>
        <w:gridCol w:w="1360"/>
        <w:gridCol w:w="1360"/>
        <w:gridCol w:w="1360"/>
        <w:gridCol w:w="1360"/>
        <w:tblGridChange w:id="0">
          <w:tblGrid>
            <w:gridCol w:w="1360"/>
            <w:gridCol w:w="1360"/>
            <w:gridCol w:w="1360"/>
            <w:gridCol w:w="1360"/>
            <w:gridCol w:w="1360"/>
            <w:gridCol w:w="1360"/>
            <w:gridCol w:w="1360"/>
            <w:gridCol w:w="1360"/>
          </w:tblGrid>
        </w:tblGridChange>
      </w:tblGrid>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23">
            <w:pPr>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3.545</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24">
            <w:pPr>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3.163</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25">
            <w:pPr>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3.258</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26">
            <w:pPr>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2.79</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27">
            <w:pPr>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2.497</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28">
            <w:pPr>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2.331</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29">
            <w:pPr>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3.681</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2A">
            <w:pPr>
              <w:widowControl w:val="0"/>
              <w:jc w:val="center"/>
              <w:rPr>
                <w:rFonts w:ascii="Calibri" w:cs="Calibri" w:eastAsia="Calibri" w:hAnsi="Calibri"/>
                <w:sz w:val="24"/>
                <w:szCs w:val="24"/>
                <w:shd w:fill="ea9999" w:val="clear"/>
              </w:rPr>
            </w:pPr>
            <w:r w:rsidDel="00000000" w:rsidR="00000000" w:rsidRPr="00000000">
              <w:rPr>
                <w:rFonts w:ascii="Calibri" w:cs="Calibri" w:eastAsia="Calibri" w:hAnsi="Calibri"/>
                <w:sz w:val="24"/>
                <w:szCs w:val="24"/>
                <w:shd w:fill="ea9999" w:val="clear"/>
                <w:rtl w:val="0"/>
              </w:rPr>
              <w:t xml:space="preserve">2.47</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2B">
            <w:pPr>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2.51</w:t>
            </w:r>
          </w:p>
        </w:tc>
      </w:tr>
    </w:tbl>
    <w:p w:rsidR="00000000" w:rsidDel="00000000" w:rsidP="00000000" w:rsidRDefault="00000000" w:rsidRPr="00000000" w14:paraId="0000002C">
      <w:pPr>
        <w:rPr/>
      </w:pPr>
      <w:r w:rsidDel="00000000" w:rsidR="00000000" w:rsidRPr="00000000">
        <w:rPr>
          <w:rtl w:val="0"/>
        </w:rPr>
        <w:t xml:space="preserve">Idaho, Gibson Jack </w:t>
      </w:r>
    </w:p>
    <w:p w:rsidR="00000000" w:rsidDel="00000000" w:rsidP="00000000" w:rsidRDefault="00000000" w:rsidRPr="00000000" w14:paraId="0000002D">
      <w:pPr>
        <w:rPr/>
      </w:pPr>
      <w:r w:rsidDel="00000000" w:rsidR="00000000" w:rsidRPr="00000000">
        <w:rPr>
          <w:rtl w:val="0"/>
        </w:rPr>
        <w:tab/>
        <w:t xml:space="preserve">This data set has the most individuals with smaller seed weights, so these individuals will have a higher probability of surviving. It may be important to note that this population, has the highest variability and the highest SD, reinforcing the concept that variation within populations has benefits (specifically benefits in regards to natural selection and adaptation to the environment)</w:t>
      </w:r>
    </w:p>
    <w:p w:rsidR="00000000" w:rsidDel="00000000" w:rsidP="00000000" w:rsidRDefault="00000000" w:rsidRPr="00000000" w14:paraId="0000002E">
      <w:pPr>
        <w:rPr>
          <w:rFonts w:ascii="Calibri" w:cs="Calibri" w:eastAsia="Calibri" w:hAnsi="Calibri"/>
          <w:i w:val="1"/>
          <w:sz w:val="24"/>
          <w:szCs w:val="24"/>
        </w:rPr>
      </w:pPr>
      <w:r w:rsidDel="00000000" w:rsidR="00000000" w:rsidRPr="00000000">
        <w:rPr>
          <w:rtl w:val="0"/>
        </w:rPr>
      </w:r>
    </w:p>
    <w:tbl>
      <w:tblPr>
        <w:tblStyle w:val="Table3"/>
        <w:tblW w:w="1088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60"/>
        <w:gridCol w:w="1360"/>
        <w:gridCol w:w="1360"/>
        <w:gridCol w:w="1360"/>
        <w:gridCol w:w="1360"/>
        <w:gridCol w:w="1360"/>
        <w:gridCol w:w="1360"/>
        <w:gridCol w:w="1360"/>
        <w:tblGridChange w:id="0">
          <w:tblGrid>
            <w:gridCol w:w="1360"/>
            <w:gridCol w:w="1360"/>
            <w:gridCol w:w="1360"/>
            <w:gridCol w:w="1360"/>
            <w:gridCol w:w="1360"/>
            <w:gridCol w:w="1360"/>
            <w:gridCol w:w="1360"/>
            <w:gridCol w:w="1360"/>
          </w:tblGrid>
        </w:tblGridChange>
      </w:tblGrid>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2F">
            <w:pPr>
              <w:widowControl w:val="0"/>
              <w:jc w:val="center"/>
              <w:rPr>
                <w:rFonts w:ascii="Calibri" w:cs="Calibri" w:eastAsia="Calibri" w:hAnsi="Calibri"/>
                <w:sz w:val="24"/>
                <w:szCs w:val="24"/>
                <w:shd w:fill="b6d7a8" w:val="clear"/>
              </w:rPr>
            </w:pPr>
            <w:r w:rsidDel="00000000" w:rsidR="00000000" w:rsidRPr="00000000">
              <w:rPr>
                <w:rFonts w:ascii="Calibri" w:cs="Calibri" w:eastAsia="Calibri" w:hAnsi="Calibri"/>
                <w:sz w:val="24"/>
                <w:szCs w:val="24"/>
                <w:shd w:fill="b6d7a8" w:val="clear"/>
                <w:rtl w:val="0"/>
              </w:rPr>
              <w:t xml:space="preserve">0.973</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30">
            <w:pPr>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2.949</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31">
            <w:pPr>
              <w:widowControl w:val="0"/>
              <w:jc w:val="center"/>
              <w:rPr>
                <w:rFonts w:ascii="Calibri" w:cs="Calibri" w:eastAsia="Calibri" w:hAnsi="Calibri"/>
                <w:sz w:val="24"/>
                <w:szCs w:val="24"/>
                <w:shd w:fill="b6d7a8" w:val="clear"/>
              </w:rPr>
            </w:pPr>
            <w:r w:rsidDel="00000000" w:rsidR="00000000" w:rsidRPr="00000000">
              <w:rPr>
                <w:rFonts w:ascii="Calibri" w:cs="Calibri" w:eastAsia="Calibri" w:hAnsi="Calibri"/>
                <w:sz w:val="24"/>
                <w:szCs w:val="24"/>
                <w:shd w:fill="b6d7a8" w:val="clear"/>
                <w:rtl w:val="0"/>
              </w:rPr>
              <w:t xml:space="preserve">0.929</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32">
            <w:pPr>
              <w:widowControl w:val="0"/>
              <w:jc w:val="center"/>
              <w:rPr>
                <w:rFonts w:ascii="Calibri" w:cs="Calibri" w:eastAsia="Calibri" w:hAnsi="Calibri"/>
                <w:sz w:val="24"/>
                <w:szCs w:val="24"/>
                <w:shd w:fill="b6d7a8" w:val="clear"/>
              </w:rPr>
            </w:pPr>
            <w:r w:rsidDel="00000000" w:rsidR="00000000" w:rsidRPr="00000000">
              <w:rPr>
                <w:rFonts w:ascii="Calibri" w:cs="Calibri" w:eastAsia="Calibri" w:hAnsi="Calibri"/>
                <w:sz w:val="24"/>
                <w:szCs w:val="24"/>
                <w:shd w:fill="b6d7a8" w:val="clear"/>
                <w:rtl w:val="0"/>
              </w:rPr>
              <w:t xml:space="preserve">1.546</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33">
            <w:pPr>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2.732</w:t>
            </w:r>
          </w:p>
        </w:tc>
      </w:tr>
      <w:tr>
        <w:trPr>
          <w:cantSplit w:val="0"/>
          <w:trHeight w:val="412.96875" w:hRule="atLeast"/>
          <w:tblHeader w:val="0"/>
        </w:trPr>
        <w:tc>
          <w:tcPr>
            <w:tcMar>
              <w:top w:w="40.0" w:type="dxa"/>
              <w:left w:w="40.0" w:type="dxa"/>
              <w:bottom w:w="40.0" w:type="dxa"/>
              <w:right w:w="40.0" w:type="dxa"/>
            </w:tcMar>
            <w:vAlign w:val="center"/>
          </w:tcPr>
          <w:p w:rsidR="00000000" w:rsidDel="00000000" w:rsidP="00000000" w:rsidRDefault="00000000" w:rsidRPr="00000000" w14:paraId="00000034">
            <w:pPr>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4.168</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35">
            <w:pPr>
              <w:widowControl w:val="0"/>
              <w:jc w:val="center"/>
              <w:rPr>
                <w:rFonts w:ascii="Calibri" w:cs="Calibri" w:eastAsia="Calibri" w:hAnsi="Calibri"/>
                <w:sz w:val="24"/>
                <w:szCs w:val="24"/>
                <w:shd w:fill="b6d7a8" w:val="clear"/>
              </w:rPr>
            </w:pPr>
            <w:r w:rsidDel="00000000" w:rsidR="00000000" w:rsidRPr="00000000">
              <w:rPr>
                <w:rFonts w:ascii="Calibri" w:cs="Calibri" w:eastAsia="Calibri" w:hAnsi="Calibri"/>
                <w:sz w:val="24"/>
                <w:szCs w:val="24"/>
                <w:shd w:fill="b6d7a8" w:val="clear"/>
                <w:rtl w:val="0"/>
              </w:rPr>
              <w:t xml:space="preserve">0.952</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36">
            <w:pPr>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2.658</w:t>
            </w:r>
          </w:p>
        </w:tc>
      </w:tr>
      <w:tr>
        <w:trPr>
          <w:cantSplit w:val="0"/>
          <w:trHeight w:val="440" w:hRule="atLeast"/>
          <w:tblHeader w:val="0"/>
        </w:trPr>
        <w:tc>
          <w:tcPr>
            <w:tcMar>
              <w:top w:w="40.0" w:type="dxa"/>
              <w:left w:w="40.0" w:type="dxa"/>
              <w:bottom w:w="40.0" w:type="dxa"/>
              <w:right w:w="40.0" w:type="dxa"/>
            </w:tcMar>
            <w:vAlign w:val="center"/>
          </w:tcPr>
          <w:p w:rsidR="00000000" w:rsidDel="00000000" w:rsidP="00000000" w:rsidRDefault="00000000" w:rsidRPr="00000000" w14:paraId="00000037">
            <w:pPr>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2.905</w:t>
            </w:r>
          </w:p>
        </w:tc>
      </w:tr>
    </w:tbl>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Development of their Arguments </w:t>
      </w:r>
    </w:p>
    <w:p w:rsidR="00000000" w:rsidDel="00000000" w:rsidP="00000000" w:rsidRDefault="00000000" w:rsidRPr="00000000" w14:paraId="0000003A">
      <w:pPr>
        <w:numPr>
          <w:ilvl w:val="0"/>
          <w:numId w:val="1"/>
        </w:numPr>
        <w:ind w:left="720" w:hanging="360"/>
        <w:rPr>
          <w:u w:val="none"/>
        </w:rPr>
      </w:pPr>
      <w:r w:rsidDel="00000000" w:rsidR="00000000" w:rsidRPr="00000000">
        <w:rPr>
          <w:rtl w:val="0"/>
        </w:rPr>
        <w:t xml:space="preserve">Claim: </w:t>
      </w:r>
    </w:p>
    <w:p w:rsidR="00000000" w:rsidDel="00000000" w:rsidP="00000000" w:rsidRDefault="00000000" w:rsidRPr="00000000" w14:paraId="0000003B">
      <w:pPr>
        <w:numPr>
          <w:ilvl w:val="1"/>
          <w:numId w:val="1"/>
        </w:numPr>
        <w:ind w:left="1440" w:hanging="360"/>
        <w:rPr>
          <w:u w:val="none"/>
        </w:rPr>
      </w:pPr>
      <w:r w:rsidDel="00000000" w:rsidR="00000000" w:rsidRPr="00000000">
        <w:rPr>
          <w:rtl w:val="0"/>
        </w:rPr>
        <w:t xml:space="preserve">The most likely answer (and the correct answer to this scenario): The population from Idaho, Gibson Jack is the most likely to survive and this is due to his higher variation. There are more individuals in that population whose seed weights are less than 1.5 mg. </w:t>
      </w:r>
    </w:p>
    <w:p w:rsidR="00000000" w:rsidDel="00000000" w:rsidP="00000000" w:rsidRDefault="00000000" w:rsidRPr="00000000" w14:paraId="0000003C">
      <w:pPr>
        <w:numPr>
          <w:ilvl w:val="0"/>
          <w:numId w:val="1"/>
        </w:numPr>
        <w:ind w:left="720" w:hanging="360"/>
        <w:rPr>
          <w:u w:val="none"/>
        </w:rPr>
      </w:pPr>
      <w:r w:rsidDel="00000000" w:rsidR="00000000" w:rsidRPr="00000000">
        <w:rPr>
          <w:rtl w:val="0"/>
        </w:rPr>
        <w:t xml:space="preserve">How you used the data collected to make your claim. This is the scientific evidence to support the validity of the claim. </w:t>
      </w:r>
    </w:p>
    <w:p w:rsidR="00000000" w:rsidDel="00000000" w:rsidP="00000000" w:rsidRDefault="00000000" w:rsidRPr="00000000" w14:paraId="0000003D">
      <w:pPr>
        <w:numPr>
          <w:ilvl w:val="1"/>
          <w:numId w:val="1"/>
        </w:numPr>
        <w:ind w:left="1440" w:hanging="360"/>
        <w:rPr>
          <w:u w:val="none"/>
        </w:rPr>
      </w:pPr>
      <w:r w:rsidDel="00000000" w:rsidR="00000000" w:rsidRPr="00000000">
        <w:rPr>
          <w:rtl w:val="0"/>
        </w:rPr>
        <w:t xml:space="preserve">See above. </w:t>
      </w:r>
    </w:p>
    <w:p w:rsidR="00000000" w:rsidDel="00000000" w:rsidP="00000000" w:rsidRDefault="00000000" w:rsidRPr="00000000" w14:paraId="0000003E">
      <w:pPr>
        <w:numPr>
          <w:ilvl w:val="1"/>
          <w:numId w:val="1"/>
        </w:numPr>
        <w:ind w:left="1440" w:hanging="360"/>
        <w:rPr>
          <w:u w:val="none"/>
        </w:rPr>
      </w:pPr>
      <w:r w:rsidDel="00000000" w:rsidR="00000000" w:rsidRPr="00000000">
        <w:rPr>
          <w:rtl w:val="0"/>
        </w:rPr>
        <w:t xml:space="preserve">What are drawings that we may anticipate to see?</w:t>
      </w:r>
    </w:p>
    <w:p w:rsidR="00000000" w:rsidDel="00000000" w:rsidP="00000000" w:rsidRDefault="00000000" w:rsidRPr="00000000" w14:paraId="0000003F">
      <w:pPr>
        <w:numPr>
          <w:ilvl w:val="0"/>
          <w:numId w:val="1"/>
        </w:numPr>
        <w:ind w:left="720" w:hanging="360"/>
        <w:rPr>
          <w:u w:val="none"/>
        </w:rPr>
      </w:pPr>
      <w:r w:rsidDel="00000000" w:rsidR="00000000" w:rsidRPr="00000000">
        <w:rPr>
          <w:rtl w:val="0"/>
        </w:rPr>
        <w:t xml:space="preserve">Justification: </w:t>
      </w:r>
    </w:p>
    <w:p w:rsidR="00000000" w:rsidDel="00000000" w:rsidP="00000000" w:rsidRDefault="00000000" w:rsidRPr="00000000" w14:paraId="00000040">
      <w:pPr>
        <w:numPr>
          <w:ilvl w:val="1"/>
          <w:numId w:val="1"/>
        </w:numPr>
        <w:ind w:left="1440" w:hanging="360"/>
        <w:rPr>
          <w:u w:val="none"/>
        </w:rPr>
      </w:pPr>
      <w:r w:rsidDel="00000000" w:rsidR="00000000" w:rsidRPr="00000000">
        <w:rPr>
          <w:rtl w:val="0"/>
        </w:rPr>
        <w:t xml:space="preserve">Variation being beneficial- mentioning natural selection and adaptation to the environment being important </w:t>
      </w:r>
    </w:p>
    <w:p w:rsidR="00000000" w:rsidDel="00000000" w:rsidP="00000000" w:rsidRDefault="00000000" w:rsidRPr="00000000" w14:paraId="00000041">
      <w:pPr>
        <w:numPr>
          <w:ilvl w:val="1"/>
          <w:numId w:val="1"/>
        </w:numPr>
        <w:ind w:left="1440" w:hanging="360"/>
        <w:rPr>
          <w:u w:val="none"/>
        </w:rPr>
      </w:pPr>
      <w:r w:rsidDel="00000000" w:rsidR="00000000" w:rsidRPr="00000000">
        <w:rPr>
          <w:rtl w:val="0"/>
        </w:rPr>
        <w:t xml:space="preserve">Thinking about evolution</w:t>
      </w: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