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ageBreakBefore w:val="0"/>
        <w:spacing w:after="0" w:line="240" w:lineRule="auto"/>
        <w:jc w:val="center"/>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Variation in Sagebrush Seed Weights</w:t>
      </w:r>
    </w:p>
    <w:p w:rsidR="00000000" w:rsidDel="00000000" w:rsidP="00000000" w:rsidRDefault="00000000" w:rsidRPr="00000000" w14:paraId="00000002">
      <w:pPr>
        <w:pageBreakBefore w:val="0"/>
        <w:spacing w:after="0" w:line="240" w:lineRule="auto"/>
        <w:rPr>
          <w:rFonts w:ascii="Calibri" w:cs="Calibri" w:eastAsia="Calibri" w:hAnsi="Calibri"/>
          <w:sz w:val="28"/>
          <w:szCs w:val="28"/>
        </w:rPr>
      </w:pPr>
      <w:r w:rsidDel="00000000" w:rsidR="00000000" w:rsidRPr="00000000">
        <w:rPr>
          <w:rtl w:val="0"/>
        </w:rPr>
      </w:r>
    </w:p>
    <w:p w:rsidR="00000000" w:rsidDel="00000000" w:rsidP="00000000" w:rsidRDefault="00000000" w:rsidRPr="00000000" w14:paraId="00000003">
      <w:pPr>
        <w:pageBreakBefore w:val="0"/>
        <w:spacing w:after="0" w:line="240"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Introduction</w:t>
      </w:r>
      <w:r w:rsidDel="00000000" w:rsidR="00000000" w:rsidRPr="00000000">
        <w:rPr>
          <w:rFonts w:ascii="Calibri" w:cs="Calibri" w:eastAsia="Calibri" w:hAnsi="Calibri"/>
          <w:b w:val="1"/>
          <w:sz w:val="24"/>
          <w:szCs w:val="24"/>
          <w:rtl w:val="0"/>
        </w:rPr>
        <w:t xml:space="preserve"> </w:t>
      </w:r>
    </w:p>
    <w:p w:rsidR="00000000" w:rsidDel="00000000" w:rsidP="00000000" w:rsidRDefault="00000000" w:rsidRPr="00000000" w14:paraId="00000004">
      <w:pPr>
        <w:pageBreakBefore w:val="0"/>
        <w:spacing w:after="0" w:line="240" w:lineRule="auto"/>
        <w:ind w:left="0" w:firstLine="72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Big sagebrush species (</w:t>
      </w:r>
      <w:r w:rsidDel="00000000" w:rsidR="00000000" w:rsidRPr="00000000">
        <w:rPr>
          <w:rFonts w:ascii="Calibri" w:cs="Calibri" w:eastAsia="Calibri" w:hAnsi="Calibri"/>
          <w:i w:val="1"/>
          <w:sz w:val="24"/>
          <w:szCs w:val="24"/>
          <w:rtl w:val="0"/>
        </w:rPr>
        <w:t xml:space="preserve">Artemisia tridentata</w:t>
      </w:r>
      <w:r w:rsidDel="00000000" w:rsidR="00000000" w:rsidRPr="00000000">
        <w:rPr>
          <w:rFonts w:ascii="Calibri" w:cs="Calibri" w:eastAsia="Calibri" w:hAnsi="Calibri"/>
          <w:sz w:val="24"/>
          <w:szCs w:val="24"/>
          <w:rtl w:val="0"/>
        </w:rPr>
        <w:t xml:space="preserve">)</w:t>
      </w:r>
      <w:r w:rsidDel="00000000" w:rsidR="00000000" w:rsidRPr="00000000">
        <w:rPr>
          <w:rFonts w:ascii="Calibri" w:cs="Calibri" w:eastAsia="Calibri" w:hAnsi="Calibri"/>
          <w:sz w:val="24"/>
          <w:szCs w:val="24"/>
          <w:rtl w:val="0"/>
        </w:rPr>
        <w:t xml:space="preserve"> are foundational to North American cold deserts, providing a habitat and a food source to a variety of species (</w:t>
      </w:r>
      <w:r w:rsidDel="00000000" w:rsidR="00000000" w:rsidRPr="00000000">
        <w:rPr>
          <w:rFonts w:ascii="Calibri" w:cs="Calibri" w:eastAsia="Calibri" w:hAnsi="Calibri"/>
          <w:color w:val="202124"/>
          <w:sz w:val="24"/>
          <w:szCs w:val="24"/>
          <w:highlight w:val="white"/>
          <w:rtl w:val="0"/>
        </w:rPr>
        <w:t xml:space="preserve">Busso &amp; Perryman, 2005; Richardson et. al., 2015</w:t>
      </w:r>
      <w:r w:rsidDel="00000000" w:rsidR="00000000" w:rsidRPr="00000000">
        <w:rPr>
          <w:rFonts w:ascii="Calibri" w:cs="Calibri" w:eastAsia="Calibri" w:hAnsi="Calibri"/>
          <w:sz w:val="24"/>
          <w:szCs w:val="24"/>
          <w:rtl w:val="0"/>
        </w:rPr>
        <w:t xml:space="preserve">). However the ecosystems have been continually disrupted by invasive species (such as cheatgrass - </w:t>
      </w:r>
      <w:r w:rsidDel="00000000" w:rsidR="00000000" w:rsidRPr="00000000">
        <w:rPr>
          <w:rFonts w:ascii="Calibri" w:cs="Calibri" w:eastAsia="Calibri" w:hAnsi="Calibri"/>
          <w:i w:val="1"/>
          <w:sz w:val="24"/>
          <w:szCs w:val="24"/>
          <w:rtl w:val="0"/>
        </w:rPr>
        <w:t xml:space="preserve">Bromus tectorum</w:t>
      </w:r>
      <w:r w:rsidDel="00000000" w:rsidR="00000000" w:rsidRPr="00000000">
        <w:rPr>
          <w:rFonts w:ascii="Calibri" w:cs="Calibri" w:eastAsia="Calibri" w:hAnsi="Calibri"/>
          <w:sz w:val="24"/>
          <w:szCs w:val="24"/>
          <w:rtl w:val="0"/>
        </w:rPr>
        <w:t xml:space="preserve">), fires, and humans. As such, sagebrush restoration efforts are crucial to the survival of this species and the ecosystems as a whole </w:t>
      </w:r>
      <w:r w:rsidDel="00000000" w:rsidR="00000000" w:rsidRPr="00000000">
        <w:rPr>
          <w:rFonts w:ascii="Calibri" w:cs="Calibri" w:eastAsia="Calibri" w:hAnsi="Calibri"/>
          <w:sz w:val="24"/>
          <w:szCs w:val="24"/>
          <w:rtl w:val="0"/>
        </w:rPr>
        <w:t xml:space="preserve">(Schlaepfer, Lauenroth, Bradford, 2014).</w:t>
      </w: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005">
      <w:pPr>
        <w:pageBreakBefore w:val="0"/>
        <w:spacing w:after="0" w:line="240" w:lineRule="auto"/>
        <w:ind w:left="0" w:firstLine="72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6">
      <w:pPr>
        <w:pageBreakBefore w:val="0"/>
        <w:spacing w:after="0"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Pr>
        <w:drawing>
          <wp:inline distB="19050" distT="19050" distL="19050" distR="19050">
            <wp:extent cx="4189801" cy="2793192"/>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4189801" cy="2793192"/>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pageBreakBefore w:val="0"/>
        <w:spacing w:line="240" w:lineRule="auto"/>
        <w:rPr>
          <w:rFonts w:ascii="Calibri" w:cs="Calibri" w:eastAsia="Calibri" w:hAnsi="Calibri"/>
          <w:sz w:val="24"/>
          <w:szCs w:val="24"/>
        </w:rPr>
      </w:pPr>
      <w:r w:rsidDel="00000000" w:rsidR="00000000" w:rsidRPr="00000000">
        <w:rPr>
          <w:rFonts w:ascii="Calibri" w:cs="Calibri" w:eastAsia="Calibri" w:hAnsi="Calibri"/>
          <w:i w:val="1"/>
          <w:sz w:val="24"/>
          <w:szCs w:val="24"/>
          <w:rtl w:val="0"/>
        </w:rPr>
        <w:t xml:space="preserve">Figure 1: Example of a big sagebrush plant.</w:t>
      </w:r>
      <w:r w:rsidDel="00000000" w:rsidR="00000000" w:rsidRPr="00000000">
        <w:rPr>
          <w:rtl w:val="0"/>
        </w:rPr>
      </w:r>
    </w:p>
    <w:p w:rsidR="00000000" w:rsidDel="00000000" w:rsidP="00000000" w:rsidRDefault="00000000" w:rsidRPr="00000000" w14:paraId="00000008">
      <w:pPr>
        <w:pageBreakBefore w:val="0"/>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9">
      <w:pPr>
        <w:pageBreakBefore w:val="0"/>
        <w:spacing w:after="0" w:line="240" w:lineRule="auto"/>
        <w:ind w:left="0" w:firstLine="72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One particular research area of interest is the seed weight of sagebrush plants and how weight can affect the survival of the seedling and subsequent generations.</w:t>
      </w:r>
      <w:r w:rsidDel="00000000" w:rsidR="00000000" w:rsidRPr="00000000">
        <w:rPr>
          <w:rFonts w:ascii="Calibri" w:cs="Calibri" w:eastAsia="Calibri" w:hAnsi="Calibri"/>
          <w:sz w:val="24"/>
          <w:szCs w:val="24"/>
          <w:rtl w:val="0"/>
        </w:rPr>
        <w:t xml:space="preserve"> Research has shown that an increase in seed weight can have a positive influence on the emergence and survival of the plant and subsequent generations (Busso &amp; Perryman, 2005). However, it is unclear how seed weight varies across different subspecies and sampling locations. Different subspecies of big sagebrush occupy different ecological niches (Table 1) that can influence the survival and reproduction of the plant. This has led researchers to wonder: </w:t>
      </w:r>
      <w:r w:rsidDel="00000000" w:rsidR="00000000" w:rsidRPr="00000000">
        <w:rPr>
          <w:rFonts w:ascii="Calibri" w:cs="Calibri" w:eastAsia="Calibri" w:hAnsi="Calibri"/>
          <w:i w:val="1"/>
          <w:sz w:val="24"/>
          <w:szCs w:val="24"/>
          <w:rtl w:val="0"/>
        </w:rPr>
        <w:t xml:space="preserve">How does sampling location affect variation in seed weights of Big Sagebrush subspecies? </w:t>
      </w:r>
      <w:r w:rsidDel="00000000" w:rsidR="00000000" w:rsidRPr="00000000">
        <w:rPr>
          <w:rtl w:val="0"/>
        </w:rPr>
      </w:r>
    </w:p>
    <w:p w:rsidR="00000000" w:rsidDel="00000000" w:rsidP="00000000" w:rsidRDefault="00000000" w:rsidRPr="00000000" w14:paraId="0000000A">
      <w:pPr>
        <w:pageBreakBefore w:val="0"/>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B">
      <w:pPr>
        <w:pageBreakBefore w:val="0"/>
        <w:spacing w:line="240"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0C">
      <w:pPr>
        <w:pageBreakBefore w:val="0"/>
        <w:spacing w:line="240"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0D">
      <w:pPr>
        <w:pageBreakBefore w:val="0"/>
        <w:spacing w:line="240"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0E">
      <w:pPr>
        <w:pageBreakBefore w:val="0"/>
        <w:spacing w:line="240"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0F">
      <w:pPr>
        <w:pageBreakBefore w:val="0"/>
        <w:spacing w:line="240"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10">
      <w:pPr>
        <w:pageBreakBefore w:val="0"/>
        <w:spacing w:line="240"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11">
      <w:pPr>
        <w:pageBreakBefore w:val="0"/>
        <w:spacing w:line="240"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12">
      <w:pPr>
        <w:pageBreakBefore w:val="0"/>
        <w:spacing w:line="240"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Your Task </w:t>
      </w:r>
    </w:p>
    <w:p w:rsidR="00000000" w:rsidDel="00000000" w:rsidP="00000000" w:rsidRDefault="00000000" w:rsidRPr="00000000" w14:paraId="00000013">
      <w:pPr>
        <w:pageBreakBefore w:val="0"/>
        <w:spacing w:line="240" w:lineRule="auto"/>
        <w:ind w:firstLine="72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Within your group you will explore the research question: </w:t>
      </w:r>
      <w:r w:rsidDel="00000000" w:rsidR="00000000" w:rsidRPr="00000000">
        <w:rPr>
          <w:rFonts w:ascii="Calibri" w:cs="Calibri" w:eastAsia="Calibri" w:hAnsi="Calibri"/>
          <w:i w:val="1"/>
          <w:sz w:val="24"/>
          <w:szCs w:val="24"/>
          <w:rtl w:val="0"/>
        </w:rPr>
        <w:t xml:space="preserve">How does sampling location affect variation in seed weights of Big Sagebrush subspecies? </w:t>
      </w:r>
      <w:r w:rsidDel="00000000" w:rsidR="00000000" w:rsidRPr="00000000">
        <w:rPr>
          <w:rFonts w:ascii="Calibri" w:cs="Calibri" w:eastAsia="Calibri" w:hAnsi="Calibri"/>
          <w:sz w:val="24"/>
          <w:szCs w:val="24"/>
          <w:rtl w:val="0"/>
        </w:rPr>
        <w:t xml:space="preserve">First, you will explore the relationship of seed weight to sampling location and climate information using the data found in Table 2. Then based on your findings, you will make a claim supported by the evidence you found in the data. Lastly, you will provide reasoning for your claim and evaluate your claim. After each group has had time to develop their explanations, we will have a class discussion and share-out of ideas.</w:t>
      </w:r>
    </w:p>
    <w:p w:rsidR="00000000" w:rsidDel="00000000" w:rsidP="00000000" w:rsidRDefault="00000000" w:rsidRPr="00000000" w14:paraId="00000014">
      <w:pPr>
        <w:pageBreakBefore w:val="0"/>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15">
      <w:pPr>
        <w:pageBreakBefore w:val="0"/>
        <w:spacing w:line="240" w:lineRule="auto"/>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Table 1: Comparison of big sagebrush (Artemisia tridentata) subspecies and their respective ecological niches (Richardson et al., 2015).</w:t>
      </w:r>
    </w:p>
    <w:p w:rsidR="00000000" w:rsidDel="00000000" w:rsidP="00000000" w:rsidRDefault="00000000" w:rsidRPr="00000000" w14:paraId="00000016">
      <w:pPr>
        <w:pageBreakBefore w:val="0"/>
        <w:spacing w:line="240" w:lineRule="auto"/>
        <w:rPr>
          <w:rFonts w:ascii="Calibri" w:cs="Calibri" w:eastAsia="Calibri" w:hAnsi="Calibri"/>
          <w:i w:val="1"/>
          <w:sz w:val="24"/>
          <w:szCs w:val="24"/>
        </w:rPr>
      </w:pPr>
      <w:r w:rsidDel="00000000" w:rsidR="00000000" w:rsidRPr="00000000">
        <w:rPr>
          <w:rFonts w:ascii="Calibri" w:cs="Calibri" w:eastAsia="Calibri" w:hAnsi="Calibri"/>
          <w:i w:val="1"/>
          <w:sz w:val="24"/>
          <w:szCs w:val="24"/>
        </w:rPr>
        <w:drawing>
          <wp:inline distB="114300" distT="114300" distL="114300" distR="114300">
            <wp:extent cx="5500688" cy="5718341"/>
            <wp:effectExtent b="0" l="0" r="0" t="0"/>
            <wp:docPr id="2"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5500688" cy="5718341"/>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pageBreakBefore w:val="0"/>
        <w:spacing w:line="240" w:lineRule="auto"/>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18">
      <w:pPr>
        <w:pageBreakBefore w:val="0"/>
        <w:spacing w:line="240" w:lineRule="auto"/>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19">
      <w:pPr>
        <w:pageBreakBefore w:val="0"/>
        <w:spacing w:line="240" w:lineRule="auto"/>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1A">
      <w:pPr>
        <w:pageBreakBefore w:val="0"/>
        <w:spacing w:line="240" w:lineRule="auto"/>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1B">
      <w:pPr>
        <w:pageBreakBefore w:val="0"/>
        <w:spacing w:after="0" w:line="240" w:lineRule="auto"/>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1C">
      <w:pPr>
        <w:pageBreakBefore w:val="0"/>
        <w:spacing w:line="240"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Data</w:t>
      </w:r>
    </w:p>
    <w:p w:rsidR="00000000" w:rsidDel="00000000" w:rsidP="00000000" w:rsidRDefault="00000000" w:rsidRPr="00000000" w14:paraId="0000001D">
      <w:pPr>
        <w:pageBreakBefore w:val="0"/>
        <w:spacing w:line="240" w:lineRule="auto"/>
        <w:ind w:firstLine="72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See Table 2 for pertinent information regarding the guiding question such as sampling location, subspecies, climate information, and the average seed weights. Also, see this </w:t>
      </w:r>
      <w:hyperlink r:id="rId8">
        <w:r w:rsidDel="00000000" w:rsidR="00000000" w:rsidRPr="00000000">
          <w:rPr>
            <w:rFonts w:ascii="Calibri" w:cs="Calibri" w:eastAsia="Calibri" w:hAnsi="Calibri"/>
            <w:color w:val="1155cc"/>
            <w:sz w:val="24"/>
            <w:szCs w:val="24"/>
            <w:u w:val="single"/>
            <w:rtl w:val="0"/>
          </w:rPr>
          <w:t xml:space="preserve">link </w:t>
        </w:r>
      </w:hyperlink>
      <w:r w:rsidDel="00000000" w:rsidR="00000000" w:rsidRPr="00000000">
        <w:rPr>
          <w:rFonts w:ascii="Calibri" w:cs="Calibri" w:eastAsia="Calibri" w:hAnsi="Calibri"/>
          <w:sz w:val="24"/>
          <w:szCs w:val="24"/>
          <w:rtl w:val="0"/>
        </w:rPr>
        <w:t xml:space="preserve">for a map of the sampling locations. </w:t>
      </w:r>
    </w:p>
    <w:p w:rsidR="00000000" w:rsidDel="00000000" w:rsidP="00000000" w:rsidRDefault="00000000" w:rsidRPr="00000000" w14:paraId="0000001E">
      <w:pPr>
        <w:pageBreakBefore w:val="0"/>
        <w:spacing w:line="240" w:lineRule="auto"/>
        <w:ind w:firstLine="720"/>
        <w:rPr>
          <w:rFonts w:ascii="Calibri" w:cs="Calibri" w:eastAsia="Calibri" w:hAnsi="Calibri"/>
          <w:i w:val="1"/>
          <w:sz w:val="24"/>
          <w:szCs w:val="24"/>
        </w:rPr>
        <w:sectPr>
          <w:pgSz w:h="15840" w:w="12240" w:orient="portrait"/>
          <w:pgMar w:bottom="1440" w:top="1440" w:left="1440" w:right="1440" w:header="720" w:footer="720"/>
          <w:pgNumType w:start="1"/>
        </w:sectPr>
      </w:pPr>
      <w:r w:rsidDel="00000000" w:rsidR="00000000" w:rsidRPr="00000000">
        <w:rPr>
          <w:rFonts w:ascii="Calibri" w:cs="Calibri" w:eastAsia="Calibri" w:hAnsi="Calibri"/>
          <w:sz w:val="24"/>
          <w:szCs w:val="24"/>
          <w:rtl w:val="0"/>
        </w:rPr>
        <w:t xml:space="preserve">In order to determine the average seed weight value, 10 seeds were collected and weighed from 6-12 individual sagebrush plants. The weights of the individual plants were then averaged to determine an average population seed weight.</w:t>
      </w:r>
      <w:r w:rsidDel="00000000" w:rsidR="00000000" w:rsidRPr="00000000">
        <w:rPr>
          <w:rtl w:val="0"/>
        </w:rPr>
      </w:r>
    </w:p>
    <w:p w:rsidR="00000000" w:rsidDel="00000000" w:rsidP="00000000" w:rsidRDefault="00000000" w:rsidRPr="00000000" w14:paraId="0000001F">
      <w:pPr>
        <w:pageBreakBefore w:val="0"/>
        <w:spacing w:line="240" w:lineRule="auto"/>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Table 2: Average population seed weight data for each sampling location with relevant information regarding each sampling location. </w:t>
      </w:r>
    </w:p>
    <w:tbl>
      <w:tblPr>
        <w:tblStyle w:val="Table1"/>
        <w:tblW w:w="12960.0" w:type="dxa"/>
        <w:jc w:val="center"/>
        <w:tblLayout w:type="fixed"/>
        <w:tblLook w:val="0600"/>
      </w:tblPr>
      <w:tblGrid>
        <w:gridCol w:w="1620"/>
        <w:gridCol w:w="1815"/>
        <w:gridCol w:w="1695"/>
        <w:gridCol w:w="1455"/>
        <w:gridCol w:w="1515"/>
        <w:gridCol w:w="1620"/>
        <w:gridCol w:w="1620"/>
        <w:gridCol w:w="1620"/>
        <w:tblGridChange w:id="0">
          <w:tblGrid>
            <w:gridCol w:w="1620"/>
            <w:gridCol w:w="1815"/>
            <w:gridCol w:w="1695"/>
            <w:gridCol w:w="1455"/>
            <w:gridCol w:w="1515"/>
            <w:gridCol w:w="1620"/>
            <w:gridCol w:w="1620"/>
            <w:gridCol w:w="1620"/>
          </w:tblGrid>
        </w:tblGridChange>
      </w:tblGrid>
      <w:tr>
        <w:trPr>
          <w:cantSplit w:val="0"/>
          <w:tblHeader w:val="0"/>
        </w:trPr>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0">
            <w:pPr>
              <w:pageBreakBefore w:val="0"/>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State</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1">
            <w:pPr>
              <w:pageBreakBefore w:val="0"/>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Sampling Location</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2">
            <w:pPr>
              <w:pageBreakBefore w:val="0"/>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Subspecies</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3">
            <w:pPr>
              <w:pageBreakBefore w:val="0"/>
              <w:widowControl w:val="0"/>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Annual Precipitation (mm)</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4">
            <w:pPr>
              <w:pageBreakBefore w:val="0"/>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Elevation (m)</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5">
            <w:pPr>
              <w:pageBreakBefore w:val="0"/>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Min Temp</w:t>
            </w:r>
          </w:p>
          <w:p w:rsidR="00000000" w:rsidDel="00000000" w:rsidP="00000000" w:rsidRDefault="00000000" w:rsidRPr="00000000" w14:paraId="00000026">
            <w:pPr>
              <w:pageBreakBefore w:val="0"/>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(°C)</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7">
            <w:pPr>
              <w:pageBreakBefore w:val="0"/>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Max Temp</w:t>
            </w:r>
          </w:p>
          <w:p w:rsidR="00000000" w:rsidDel="00000000" w:rsidP="00000000" w:rsidRDefault="00000000" w:rsidRPr="00000000" w14:paraId="00000028">
            <w:pPr>
              <w:pageBreakBefore w:val="0"/>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(°C)</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9">
            <w:pPr>
              <w:pageBreakBefore w:val="0"/>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Avg Seed Weight (mg)</w:t>
            </w:r>
          </w:p>
        </w:tc>
      </w:tr>
      <w:tr>
        <w:trPr>
          <w:cantSplit w:val="0"/>
          <w:trHeight w:val="440" w:hRule="atLeast"/>
          <w:tblHeader w:val="0"/>
        </w:trPr>
        <w:tc>
          <w:tcPr>
            <w:vMerge w:val="restart"/>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A">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Idaho</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B">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Bannock Highway</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C">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i w:val="1"/>
                <w:sz w:val="24"/>
                <w:szCs w:val="24"/>
                <w:rtl w:val="0"/>
              </w:rPr>
              <w:t xml:space="preserve">tridentata</w:t>
            </w:r>
            <w:r w:rsidDel="00000000" w:rsidR="00000000" w:rsidRPr="00000000">
              <w:rPr>
                <w:rtl w:val="0"/>
              </w:rPr>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D">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418</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E">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1811</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F">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-10.7</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0">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27.8</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1">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1.75</w:t>
            </w:r>
          </w:p>
        </w:tc>
      </w:tr>
      <w:tr>
        <w:trPr>
          <w:cantSplit w:val="0"/>
          <w:trHeight w:val="440" w:hRule="atLeast"/>
          <w:tblHeader w:val="0"/>
        </w:trPr>
        <w:tc>
          <w:tcPr>
            <w:vMerge w:val="continue"/>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2">
            <w:pPr>
              <w:pageBreakBefore w:val="0"/>
              <w:widowControl w:val="0"/>
              <w:spacing w:line="240" w:lineRule="auto"/>
              <w:jc w:val="center"/>
              <w:rPr>
                <w:rFonts w:ascii="Calibri" w:cs="Calibri" w:eastAsia="Calibri" w:hAnsi="Calibri"/>
                <w:sz w:val="24"/>
                <w:szCs w:val="24"/>
              </w:rPr>
            </w:pPr>
            <w:r w:rsidDel="00000000" w:rsidR="00000000" w:rsidRPr="00000000">
              <w:rPr>
                <w:rtl w:val="0"/>
              </w:rPr>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3">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Scout Mountain</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4">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i w:val="1"/>
                <w:sz w:val="24"/>
                <w:szCs w:val="24"/>
                <w:rtl w:val="0"/>
              </w:rPr>
              <w:t xml:space="preserve">tridentata</w:t>
            </w:r>
            <w:r w:rsidDel="00000000" w:rsidR="00000000" w:rsidRPr="00000000">
              <w:rPr>
                <w:rtl w:val="0"/>
              </w:rPr>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5">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416</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6">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1776</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7">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-10.4</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8">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27.2</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9">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1.54</w:t>
            </w:r>
          </w:p>
        </w:tc>
      </w:tr>
      <w:tr>
        <w:trPr>
          <w:cantSplit w:val="0"/>
          <w:trHeight w:val="440" w:hRule="atLeast"/>
          <w:tblHeader w:val="0"/>
        </w:trPr>
        <w:tc>
          <w:tcPr>
            <w:vMerge w:val="continue"/>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A">
            <w:pPr>
              <w:pageBreakBefore w:val="0"/>
              <w:widowControl w:val="0"/>
              <w:spacing w:line="240" w:lineRule="auto"/>
              <w:jc w:val="center"/>
              <w:rPr>
                <w:rFonts w:ascii="Calibri" w:cs="Calibri" w:eastAsia="Calibri" w:hAnsi="Calibri"/>
                <w:sz w:val="24"/>
                <w:szCs w:val="24"/>
              </w:rPr>
            </w:pPr>
            <w:r w:rsidDel="00000000" w:rsidR="00000000" w:rsidRPr="00000000">
              <w:rPr>
                <w:rtl w:val="0"/>
              </w:rPr>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B">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King Hill</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C">
            <w:pPr>
              <w:pageBreakBefore w:val="0"/>
              <w:widowControl w:val="0"/>
              <w:spacing w:line="240" w:lineRule="auto"/>
              <w:jc w:val="cente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tridentata </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D">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263</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E">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858</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F">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-5.8</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0">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34.2</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1">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2.78</w:t>
            </w:r>
          </w:p>
        </w:tc>
      </w:tr>
      <w:tr>
        <w:trPr>
          <w:cantSplit w:val="0"/>
          <w:trHeight w:val="440" w:hRule="atLeast"/>
          <w:tblHeader w:val="0"/>
        </w:trPr>
        <w:tc>
          <w:tcPr>
            <w:vMerge w:val="continue"/>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2">
            <w:pPr>
              <w:pageBreakBefore w:val="0"/>
              <w:widowControl w:val="0"/>
              <w:spacing w:line="240" w:lineRule="auto"/>
              <w:jc w:val="center"/>
              <w:rPr>
                <w:rFonts w:ascii="Calibri" w:cs="Calibri" w:eastAsia="Calibri" w:hAnsi="Calibri"/>
                <w:sz w:val="24"/>
                <w:szCs w:val="24"/>
              </w:rPr>
            </w:pPr>
            <w:r w:rsidDel="00000000" w:rsidR="00000000" w:rsidRPr="00000000">
              <w:rPr>
                <w:rtl w:val="0"/>
              </w:rPr>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3">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Firth Lava Beds</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4">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i w:val="1"/>
                <w:sz w:val="24"/>
                <w:szCs w:val="24"/>
                <w:rtl w:val="0"/>
              </w:rPr>
              <w:t xml:space="preserve">tridentata</w:t>
            </w:r>
            <w:r w:rsidDel="00000000" w:rsidR="00000000" w:rsidRPr="00000000">
              <w:rPr>
                <w:rtl w:val="0"/>
              </w:rPr>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5">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283</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6">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1391</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7">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-10.8</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8">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30.5</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9">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1.98</w:t>
            </w:r>
          </w:p>
        </w:tc>
      </w:tr>
      <w:tr>
        <w:trPr>
          <w:cantSplit w:val="0"/>
          <w:trHeight w:val="440" w:hRule="atLeast"/>
          <w:tblHeader w:val="0"/>
        </w:trPr>
        <w:tc>
          <w:tcPr>
            <w:vMerge w:val="continue"/>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A">
            <w:pPr>
              <w:pageBreakBefore w:val="0"/>
              <w:widowControl w:val="0"/>
              <w:spacing w:line="240" w:lineRule="auto"/>
              <w:jc w:val="center"/>
              <w:rPr>
                <w:rFonts w:ascii="Calibri" w:cs="Calibri" w:eastAsia="Calibri" w:hAnsi="Calibri"/>
                <w:sz w:val="24"/>
                <w:szCs w:val="24"/>
              </w:rPr>
            </w:pPr>
            <w:r w:rsidDel="00000000" w:rsidR="00000000" w:rsidRPr="00000000">
              <w:rPr>
                <w:rtl w:val="0"/>
              </w:rPr>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B">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Gibson Jack</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C">
            <w:pPr>
              <w:pageBreakBefore w:val="0"/>
              <w:widowControl w:val="0"/>
              <w:spacing w:line="240" w:lineRule="auto"/>
              <w:jc w:val="cente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tridentata</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D">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320</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E">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1388</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F">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-9.5</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0">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31.3</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1">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2.20</w:t>
            </w:r>
          </w:p>
        </w:tc>
      </w:tr>
      <w:tr>
        <w:trPr>
          <w:cantSplit w:val="0"/>
          <w:trHeight w:val="440" w:hRule="atLeast"/>
          <w:tblHeader w:val="0"/>
        </w:trPr>
        <w:tc>
          <w:tcPr>
            <w:vMerge w:val="continue"/>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2">
            <w:pPr>
              <w:pageBreakBefore w:val="0"/>
              <w:widowControl w:val="0"/>
              <w:spacing w:line="240" w:lineRule="auto"/>
              <w:jc w:val="center"/>
              <w:rPr>
                <w:rFonts w:ascii="Calibri" w:cs="Calibri" w:eastAsia="Calibri" w:hAnsi="Calibri"/>
                <w:sz w:val="24"/>
                <w:szCs w:val="24"/>
              </w:rPr>
            </w:pPr>
            <w:r w:rsidDel="00000000" w:rsidR="00000000" w:rsidRPr="00000000">
              <w:rPr>
                <w:rtl w:val="0"/>
              </w:rPr>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3">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Howe Creek</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4">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i w:val="1"/>
                <w:sz w:val="24"/>
                <w:szCs w:val="24"/>
                <w:rtl w:val="0"/>
              </w:rPr>
              <w:t xml:space="preserve">tridentata</w:t>
            </w:r>
            <w:r w:rsidDel="00000000" w:rsidR="00000000" w:rsidRPr="00000000">
              <w:rPr>
                <w:rtl w:val="0"/>
              </w:rPr>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5">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221</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6">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1574</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7">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-13.8</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8">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30.2</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9">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1.63</w:t>
            </w:r>
          </w:p>
        </w:tc>
      </w:tr>
      <w:tr>
        <w:trPr>
          <w:cantSplit w:val="0"/>
          <w:trHeight w:val="440" w:hRule="atLeast"/>
          <w:tblHeader w:val="0"/>
        </w:trPr>
        <w:tc>
          <w:tcPr>
            <w:vMerge w:val="restart"/>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A">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Oregon</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B">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Burns Junction</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C">
            <w:pPr>
              <w:pageBreakBefore w:val="0"/>
              <w:widowControl w:val="0"/>
              <w:spacing w:line="240" w:lineRule="auto"/>
              <w:jc w:val="cente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wyomingensis</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D">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222</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E">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1188</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F">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-7.3</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0">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32.5</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1">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3.40</w:t>
            </w:r>
          </w:p>
        </w:tc>
      </w:tr>
      <w:tr>
        <w:trPr>
          <w:cantSplit w:val="0"/>
          <w:trHeight w:val="440" w:hRule="atLeast"/>
          <w:tblHeader w:val="0"/>
        </w:trPr>
        <w:tc>
          <w:tcPr>
            <w:vMerge w:val="continue"/>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2">
            <w:pPr>
              <w:pageBreakBefore w:val="0"/>
              <w:widowControl w:val="0"/>
              <w:spacing w:line="240" w:lineRule="auto"/>
              <w:jc w:val="center"/>
              <w:rPr>
                <w:rFonts w:ascii="Calibri" w:cs="Calibri" w:eastAsia="Calibri" w:hAnsi="Calibri"/>
                <w:sz w:val="24"/>
                <w:szCs w:val="24"/>
              </w:rPr>
            </w:pPr>
            <w:r w:rsidDel="00000000" w:rsidR="00000000" w:rsidRPr="00000000">
              <w:rPr>
                <w:rtl w:val="0"/>
              </w:rPr>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3">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Hines Court</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4">
            <w:pPr>
              <w:pageBreakBefore w:val="0"/>
              <w:widowControl w:val="0"/>
              <w:spacing w:line="240" w:lineRule="auto"/>
              <w:jc w:val="cente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wyomingensis</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5">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283</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6">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1318</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7">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-8.6</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8">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29.8</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9">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2.82</w:t>
            </w:r>
          </w:p>
        </w:tc>
      </w:tr>
      <w:tr>
        <w:trPr>
          <w:cantSplit w:val="0"/>
          <w:trHeight w:val="440" w:hRule="atLeast"/>
          <w:tblHeader w:val="0"/>
        </w:trPr>
        <w:tc>
          <w:tcPr>
            <w:vMerge w:val="continue"/>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A">
            <w:pPr>
              <w:pageBreakBefore w:val="0"/>
              <w:widowControl w:val="0"/>
              <w:spacing w:line="240" w:lineRule="auto"/>
              <w:jc w:val="center"/>
              <w:rPr>
                <w:rFonts w:ascii="Calibri" w:cs="Calibri" w:eastAsia="Calibri" w:hAnsi="Calibri"/>
                <w:sz w:val="24"/>
                <w:szCs w:val="24"/>
              </w:rPr>
            </w:pPr>
            <w:r w:rsidDel="00000000" w:rsidR="00000000" w:rsidRPr="00000000">
              <w:rPr>
                <w:rtl w:val="0"/>
              </w:rPr>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B">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Crooked River</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C">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i w:val="1"/>
                <w:sz w:val="24"/>
                <w:szCs w:val="24"/>
                <w:rtl w:val="0"/>
              </w:rPr>
              <w:t xml:space="preserve">tridentata</w:t>
            </w:r>
            <w:r w:rsidDel="00000000" w:rsidR="00000000" w:rsidRPr="00000000">
              <w:rPr>
                <w:rtl w:val="0"/>
              </w:rPr>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D">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291</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E">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1053</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F">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-6.7</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0">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30.4</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1">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1.92</w:t>
            </w:r>
          </w:p>
        </w:tc>
      </w:tr>
      <w:tr>
        <w:trPr>
          <w:cantSplit w:val="0"/>
          <w:tblHeader w:val="0"/>
        </w:trPr>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2">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Utah</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3">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La Sal</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4">
            <w:pPr>
              <w:pageBreakBefore w:val="0"/>
              <w:widowControl w:val="0"/>
              <w:spacing w:line="240" w:lineRule="auto"/>
              <w:jc w:val="cente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vaseyana</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5">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308</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6">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2358</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7">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-8.7</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8">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33</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9">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2.97</w:t>
            </w:r>
          </w:p>
        </w:tc>
      </w:tr>
      <w:tr>
        <w:trPr>
          <w:cantSplit w:val="0"/>
          <w:trHeight w:val="440" w:hRule="atLeast"/>
          <w:tblHeader w:val="0"/>
        </w:trPr>
        <w:tc>
          <w:tcPr>
            <w:vMerge w:val="restart"/>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A">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British Columbia</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B">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Kobau</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C">
            <w:pPr>
              <w:pageBreakBefore w:val="0"/>
              <w:widowControl w:val="0"/>
              <w:spacing w:line="240" w:lineRule="auto"/>
              <w:jc w:val="cente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vaseyana</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D">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631</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E">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1848</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F">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-11.9</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0">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22.5</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1">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2.87</w:t>
            </w:r>
          </w:p>
        </w:tc>
      </w:tr>
      <w:tr>
        <w:trPr>
          <w:cantSplit w:val="0"/>
          <w:trHeight w:val="440" w:hRule="atLeast"/>
          <w:tblHeader w:val="0"/>
        </w:trPr>
        <w:tc>
          <w:tcPr>
            <w:vMerge w:val="continue"/>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2">
            <w:pPr>
              <w:pageBreakBefore w:val="0"/>
              <w:widowControl w:val="0"/>
              <w:spacing w:line="240" w:lineRule="auto"/>
              <w:jc w:val="center"/>
              <w:rPr>
                <w:rFonts w:ascii="Calibri" w:cs="Calibri" w:eastAsia="Calibri" w:hAnsi="Calibri"/>
                <w:sz w:val="24"/>
                <w:szCs w:val="24"/>
              </w:rPr>
            </w:pPr>
            <w:r w:rsidDel="00000000" w:rsidR="00000000" w:rsidRPr="00000000">
              <w:rPr>
                <w:rtl w:val="0"/>
              </w:rPr>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3">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Station</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4">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i w:val="1"/>
                <w:sz w:val="24"/>
                <w:szCs w:val="24"/>
                <w:rtl w:val="0"/>
              </w:rPr>
              <w:t xml:space="preserve">tridentata</w:t>
            </w:r>
            <w:r w:rsidDel="00000000" w:rsidR="00000000" w:rsidRPr="00000000">
              <w:rPr>
                <w:rtl w:val="0"/>
              </w:rPr>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5">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334</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6">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347</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7">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-5.0</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8">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27.7</w:t>
            </w:r>
          </w:p>
        </w:tc>
        <w:tc>
          <w:tcPr>
            <w:tcBorders>
              <w:top w:color="202124" w:space="0" w:sz="8" w:val="single"/>
              <w:left w:color="202124" w:space="0" w:sz="8" w:val="single"/>
              <w:bottom w:color="202124" w:space="0" w:sz="8" w:val="single"/>
              <w:right w:color="202124"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9">
            <w:pPr>
              <w:pageBreakBefore w:val="0"/>
              <w:widowControl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2.92</w:t>
            </w:r>
          </w:p>
        </w:tc>
      </w:tr>
    </w:tbl>
    <w:p w:rsidR="00000000" w:rsidDel="00000000" w:rsidP="00000000" w:rsidRDefault="00000000" w:rsidRPr="00000000" w14:paraId="0000008A">
      <w:pPr>
        <w:pageBreakBefore w:val="0"/>
        <w:rPr/>
        <w:sectPr>
          <w:type w:val="nextPage"/>
          <w:pgSz w:h="12240" w:w="15840" w:orient="landscape"/>
          <w:pgMar w:bottom="1440" w:top="1440" w:left="1440" w:right="1440" w:header="720" w:footer="720"/>
        </w:sectPr>
      </w:pPr>
      <w:r w:rsidDel="00000000" w:rsidR="00000000" w:rsidRPr="00000000">
        <w:rPr>
          <w:rtl w:val="0"/>
        </w:rPr>
      </w:r>
    </w:p>
    <w:p w:rsidR="00000000" w:rsidDel="00000000" w:rsidP="00000000" w:rsidRDefault="00000000" w:rsidRPr="00000000" w14:paraId="0000008B">
      <w:pPr>
        <w:pageBreakBefore w:val="0"/>
        <w:spacing w:line="240"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Develop Your Argument</w:t>
      </w:r>
    </w:p>
    <w:p w:rsidR="00000000" w:rsidDel="00000000" w:rsidP="00000000" w:rsidRDefault="00000000" w:rsidRPr="00000000" w14:paraId="0000008C">
      <w:pPr>
        <w:pageBreakBefore w:val="0"/>
        <w:spacing w:line="240" w:lineRule="auto"/>
        <w:ind w:firstLine="720"/>
        <w:rPr>
          <w:rFonts w:ascii="Calibri" w:cs="Calibri" w:eastAsia="Calibri" w:hAnsi="Calibri"/>
          <w:i w:val="1"/>
          <w:sz w:val="24"/>
          <w:szCs w:val="24"/>
          <w:highlight w:val="yellow"/>
        </w:rPr>
      </w:pPr>
      <w:r w:rsidDel="00000000" w:rsidR="00000000" w:rsidRPr="00000000">
        <w:rPr>
          <w:rFonts w:ascii="Calibri" w:cs="Calibri" w:eastAsia="Calibri" w:hAnsi="Calibri"/>
          <w:sz w:val="24"/>
          <w:szCs w:val="24"/>
          <w:rtl w:val="0"/>
        </w:rPr>
        <w:t xml:space="preserve">What is your group’s answer to the research question:</w:t>
      </w:r>
      <w:r w:rsidDel="00000000" w:rsidR="00000000" w:rsidRPr="00000000">
        <w:rPr>
          <w:rFonts w:ascii="Calibri" w:cs="Calibri" w:eastAsia="Calibri" w:hAnsi="Calibri"/>
          <w:i w:val="1"/>
          <w:sz w:val="24"/>
          <w:szCs w:val="24"/>
          <w:rtl w:val="0"/>
        </w:rPr>
        <w:t xml:space="preserve"> How does sampling location affect variation in seed weights of Big Sagebrush subspecies? </w:t>
      </w:r>
      <w:r w:rsidDel="00000000" w:rsidR="00000000" w:rsidRPr="00000000">
        <w:rPr>
          <w:rtl w:val="0"/>
        </w:rPr>
      </w:r>
    </w:p>
    <w:p w:rsidR="00000000" w:rsidDel="00000000" w:rsidP="00000000" w:rsidRDefault="00000000" w:rsidRPr="00000000" w14:paraId="0000008D">
      <w:pPr>
        <w:pageBreakBefore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As a group, discuss, decide, and depict on your groups’ poster paper:</w:t>
      </w:r>
    </w:p>
    <w:p w:rsidR="00000000" w:rsidDel="00000000" w:rsidP="00000000" w:rsidRDefault="00000000" w:rsidRPr="00000000" w14:paraId="0000008E">
      <w:pPr>
        <w:pageBreakBefore w:val="0"/>
        <w:numPr>
          <w:ilvl w:val="0"/>
          <w:numId w:val="2"/>
        </w:numPr>
        <w:spacing w:line="240" w:lineRule="auto"/>
        <w:ind w:left="720" w:hanging="36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The </w:t>
      </w:r>
      <w:r w:rsidDel="00000000" w:rsidR="00000000" w:rsidRPr="00000000">
        <w:rPr>
          <w:rFonts w:ascii="Calibri" w:cs="Calibri" w:eastAsia="Calibri" w:hAnsi="Calibri"/>
          <w:b w:val="1"/>
          <w:sz w:val="24"/>
          <w:szCs w:val="24"/>
          <w:rtl w:val="0"/>
        </w:rPr>
        <w:t xml:space="preserve">claim</w:t>
      </w:r>
      <w:r w:rsidDel="00000000" w:rsidR="00000000" w:rsidRPr="00000000">
        <w:rPr>
          <w:rFonts w:ascii="Calibri" w:cs="Calibri" w:eastAsia="Calibri" w:hAnsi="Calibri"/>
          <w:sz w:val="24"/>
          <w:szCs w:val="24"/>
          <w:rtl w:val="0"/>
        </w:rPr>
        <w:t xml:space="preserve"> you want to make about the variation in the seed weights of different sagebrush populations.</w:t>
      </w:r>
    </w:p>
    <w:p w:rsidR="00000000" w:rsidDel="00000000" w:rsidP="00000000" w:rsidRDefault="00000000" w:rsidRPr="00000000" w14:paraId="0000008F">
      <w:pPr>
        <w:pageBreakBefore w:val="0"/>
        <w:numPr>
          <w:ilvl w:val="0"/>
          <w:numId w:val="2"/>
        </w:numPr>
        <w:spacing w:line="240" w:lineRule="auto"/>
        <w:ind w:left="720" w:hanging="36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How you </w:t>
      </w:r>
      <w:r w:rsidDel="00000000" w:rsidR="00000000" w:rsidRPr="00000000">
        <w:rPr>
          <w:rFonts w:ascii="Calibri" w:cs="Calibri" w:eastAsia="Calibri" w:hAnsi="Calibri"/>
          <w:b w:val="1"/>
          <w:sz w:val="24"/>
          <w:szCs w:val="24"/>
          <w:rtl w:val="0"/>
        </w:rPr>
        <w:t xml:space="preserve">used the data</w:t>
      </w:r>
      <w:r w:rsidDel="00000000" w:rsidR="00000000" w:rsidRPr="00000000">
        <w:rPr>
          <w:rFonts w:ascii="Calibri" w:cs="Calibri" w:eastAsia="Calibri" w:hAnsi="Calibri"/>
          <w:sz w:val="24"/>
          <w:szCs w:val="24"/>
          <w:rtl w:val="0"/>
        </w:rPr>
        <w:t xml:space="preserve"> collected to make your claim. This is the scientific evidence to support the validity of your claim.</w:t>
      </w:r>
    </w:p>
    <w:p w:rsidR="00000000" w:rsidDel="00000000" w:rsidP="00000000" w:rsidRDefault="00000000" w:rsidRPr="00000000" w14:paraId="00000090">
      <w:pPr>
        <w:pageBreakBefore w:val="0"/>
        <w:numPr>
          <w:ilvl w:val="0"/>
          <w:numId w:val="2"/>
        </w:numPr>
        <w:spacing w:line="240" w:lineRule="auto"/>
        <w:ind w:left="720" w:hanging="36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 </w:t>
      </w:r>
      <w:r w:rsidDel="00000000" w:rsidR="00000000" w:rsidRPr="00000000">
        <w:rPr>
          <w:rFonts w:ascii="Calibri" w:cs="Calibri" w:eastAsia="Calibri" w:hAnsi="Calibri"/>
          <w:b w:val="1"/>
          <w:sz w:val="24"/>
          <w:szCs w:val="24"/>
          <w:rtl w:val="0"/>
        </w:rPr>
        <w:t xml:space="preserve">justification</w:t>
      </w:r>
      <w:r w:rsidDel="00000000" w:rsidR="00000000" w:rsidRPr="00000000">
        <w:rPr>
          <w:rFonts w:ascii="Calibri" w:cs="Calibri" w:eastAsia="Calibri" w:hAnsi="Calibri"/>
          <w:sz w:val="24"/>
          <w:szCs w:val="24"/>
          <w:rtl w:val="0"/>
        </w:rPr>
        <w:t xml:space="preserve"> to convince someone outside of this class that the data collected was biologically meaningful to answer the research question AND the </w:t>
      </w:r>
      <w:r w:rsidDel="00000000" w:rsidR="00000000" w:rsidRPr="00000000">
        <w:rPr>
          <w:rFonts w:ascii="Calibri" w:cs="Calibri" w:eastAsia="Calibri" w:hAnsi="Calibri"/>
          <w:b w:val="1"/>
          <w:sz w:val="24"/>
          <w:szCs w:val="24"/>
          <w:rtl w:val="0"/>
        </w:rPr>
        <w:t xml:space="preserve">reasons why</w:t>
      </w:r>
      <w:r w:rsidDel="00000000" w:rsidR="00000000" w:rsidRPr="00000000">
        <w:rPr>
          <w:rFonts w:ascii="Calibri" w:cs="Calibri" w:eastAsia="Calibri" w:hAnsi="Calibri"/>
          <w:sz w:val="24"/>
          <w:szCs w:val="24"/>
          <w:rtl w:val="0"/>
        </w:rPr>
        <w:t xml:space="preserve"> (given what we know about the biology of sagebrush) your claim about variation in seed weights is valid based on the evidence. This is important biological reasoning to support the validity of your claim.</w:t>
      </w:r>
    </w:p>
    <w:p w:rsidR="00000000" w:rsidDel="00000000" w:rsidP="00000000" w:rsidRDefault="00000000" w:rsidRPr="00000000" w14:paraId="00000091">
      <w:pPr>
        <w:pageBreakBefore w:val="0"/>
        <w:spacing w:line="240" w:lineRule="auto"/>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Remember: you can write, diagram, graph, draw, etc. on your poster paper.</w:t>
      </w:r>
    </w:p>
    <w:p w:rsidR="00000000" w:rsidDel="00000000" w:rsidP="00000000" w:rsidRDefault="00000000" w:rsidRPr="00000000" w14:paraId="00000092">
      <w:pPr>
        <w:pageBreakBefore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93">
      <w:pPr>
        <w:pageBreakBefore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You might organize the information above on your poster paper by spacing it out as depicted in the example below</w:t>
      </w:r>
      <w:r w:rsidDel="00000000" w:rsidR="00000000" w:rsidRPr="00000000">
        <w:rPr>
          <w:rFonts w:ascii="Calibri" w:cs="Calibri" w:eastAsia="Calibri" w:hAnsi="Calibri"/>
          <w:sz w:val="24"/>
          <w:szCs w:val="24"/>
          <w:rtl w:val="0"/>
        </w:rPr>
        <w:t xml:space="preserve">:</w:t>
      </w:r>
    </w:p>
    <w:p w:rsidR="00000000" w:rsidDel="00000000" w:rsidP="00000000" w:rsidRDefault="00000000" w:rsidRPr="00000000" w14:paraId="00000094">
      <w:pPr>
        <w:pageBreakBefore w:val="0"/>
        <w:spacing w:line="240" w:lineRule="auto"/>
        <w:rPr>
          <w:rFonts w:ascii="Calibri" w:cs="Calibri" w:eastAsia="Calibri" w:hAnsi="Calibri"/>
          <w:sz w:val="24"/>
          <w:szCs w:val="24"/>
        </w:rPr>
      </w:pPr>
      <w:r w:rsidDel="00000000" w:rsidR="00000000" w:rsidRPr="00000000">
        <w:rPr>
          <w:rtl w:val="0"/>
        </w:rPr>
      </w:r>
    </w:p>
    <w:tbl>
      <w:tblPr>
        <w:tblStyle w:val="Table2"/>
        <w:tblW w:w="78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835"/>
        <w:gridCol w:w="5040"/>
        <w:tblGridChange w:id="0">
          <w:tblGrid>
            <w:gridCol w:w="2835"/>
            <w:gridCol w:w="5040"/>
          </w:tblGrid>
        </w:tblGridChange>
      </w:tblGrid>
      <w:tr>
        <w:trPr>
          <w:cantSplit w:val="0"/>
          <w:tblHeader w:val="0"/>
        </w:trPr>
        <w:tc>
          <w:tcPr>
            <w:gridSpan w:val="2"/>
            <w:tcBorders>
              <w:top w:color="000000" w:space="0" w:sz="36" w:val="single"/>
              <w:left w:color="000000" w:space="0" w:sz="36" w:val="single"/>
              <w:right w:color="000000" w:space="0" w:sz="36" w:val="single"/>
            </w:tcBorders>
          </w:tcPr>
          <w:p w:rsidR="00000000" w:rsidDel="00000000" w:rsidP="00000000" w:rsidRDefault="00000000" w:rsidRPr="00000000" w14:paraId="00000095">
            <w:pPr>
              <w:pageBreakBefore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96">
            <w:pPr>
              <w:pageBreakBefore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Make your claim (#1)</w:t>
            </w:r>
          </w:p>
          <w:p w:rsidR="00000000" w:rsidDel="00000000" w:rsidP="00000000" w:rsidRDefault="00000000" w:rsidRPr="00000000" w14:paraId="00000097">
            <w:pPr>
              <w:pageBreakBefore w:val="0"/>
              <w:spacing w:line="240" w:lineRule="auto"/>
              <w:rPr>
                <w:rFonts w:ascii="Calibri" w:cs="Calibri" w:eastAsia="Calibri" w:hAnsi="Calibri"/>
                <w:sz w:val="24"/>
                <w:szCs w:val="24"/>
              </w:rPr>
            </w:pPr>
            <w:r w:rsidDel="00000000" w:rsidR="00000000" w:rsidRPr="00000000">
              <w:rPr>
                <w:rtl w:val="0"/>
              </w:rPr>
            </w:r>
          </w:p>
        </w:tc>
      </w:tr>
      <w:tr>
        <w:trPr>
          <w:cantSplit w:val="0"/>
          <w:trHeight w:val="1127.8125" w:hRule="atLeast"/>
          <w:tblHeader w:val="0"/>
        </w:trPr>
        <w:tc>
          <w:tcPr>
            <w:tcBorders>
              <w:left w:color="000000" w:space="0" w:sz="36" w:val="single"/>
            </w:tcBorders>
          </w:tcPr>
          <w:p w:rsidR="00000000" w:rsidDel="00000000" w:rsidP="00000000" w:rsidRDefault="00000000" w:rsidRPr="00000000" w14:paraId="00000099">
            <w:pPr>
              <w:pageBreakBefore w:val="0"/>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9A">
            <w:pPr>
              <w:pageBreakBefore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Describe how you used the data (#2)</w:t>
            </w:r>
          </w:p>
          <w:p w:rsidR="00000000" w:rsidDel="00000000" w:rsidP="00000000" w:rsidRDefault="00000000" w:rsidRPr="00000000" w14:paraId="0000009B">
            <w:pPr>
              <w:pageBreakBefore w:val="0"/>
              <w:spacing w:line="240" w:lineRule="auto"/>
              <w:jc w:val="center"/>
              <w:rPr>
                <w:rFonts w:ascii="Calibri" w:cs="Calibri" w:eastAsia="Calibri" w:hAnsi="Calibri"/>
                <w:sz w:val="24"/>
                <w:szCs w:val="24"/>
              </w:rPr>
            </w:pPr>
            <w:r w:rsidDel="00000000" w:rsidR="00000000" w:rsidRPr="00000000">
              <w:rPr>
                <w:rtl w:val="0"/>
              </w:rPr>
            </w:r>
          </w:p>
        </w:tc>
        <w:tc>
          <w:tcPr>
            <w:tcBorders>
              <w:right w:color="000000" w:space="0" w:sz="36" w:val="single"/>
            </w:tcBorders>
          </w:tcPr>
          <w:p w:rsidR="00000000" w:rsidDel="00000000" w:rsidP="00000000" w:rsidRDefault="00000000" w:rsidRPr="00000000" w14:paraId="0000009C">
            <w:pPr>
              <w:pageBreakBefore w:val="0"/>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9D">
            <w:pPr>
              <w:pageBreakBefore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Draw, graph, diagram how you used the data (#2)</w:t>
            </w:r>
          </w:p>
          <w:p w:rsidR="00000000" w:rsidDel="00000000" w:rsidP="00000000" w:rsidRDefault="00000000" w:rsidRPr="00000000" w14:paraId="0000009E">
            <w:pPr>
              <w:pageBreakBefore w:val="0"/>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9F">
            <w:pPr>
              <w:pageBreakBefore w:val="0"/>
              <w:spacing w:line="240" w:lineRule="auto"/>
              <w:jc w:val="center"/>
              <w:rPr>
                <w:rFonts w:ascii="Calibri" w:cs="Calibri" w:eastAsia="Calibri" w:hAnsi="Calibri"/>
                <w:sz w:val="24"/>
                <w:szCs w:val="24"/>
              </w:rPr>
            </w:pPr>
            <w:r w:rsidDel="00000000" w:rsidR="00000000" w:rsidRPr="00000000">
              <w:rPr>
                <w:rtl w:val="0"/>
              </w:rPr>
            </w:r>
          </w:p>
        </w:tc>
      </w:tr>
      <w:tr>
        <w:trPr>
          <w:cantSplit w:val="0"/>
          <w:tblHeader w:val="0"/>
        </w:trPr>
        <w:tc>
          <w:tcPr>
            <w:gridSpan w:val="2"/>
            <w:tcBorders>
              <w:left w:color="000000" w:space="0" w:sz="36" w:val="single"/>
              <w:bottom w:color="000000" w:space="0" w:sz="36" w:val="single"/>
              <w:right w:color="000000" w:space="0" w:sz="36" w:val="single"/>
            </w:tcBorders>
          </w:tcPr>
          <w:p w:rsidR="00000000" w:rsidDel="00000000" w:rsidP="00000000" w:rsidRDefault="00000000" w:rsidRPr="00000000" w14:paraId="000000A0">
            <w:pPr>
              <w:pageBreakBefore w:val="0"/>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1">
            <w:pPr>
              <w:pageBreakBefore w:val="0"/>
              <w:spacing w:line="24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 </w:t>
            </w:r>
            <w:r w:rsidDel="00000000" w:rsidR="00000000" w:rsidRPr="00000000">
              <w:rPr>
                <w:rFonts w:ascii="Calibri" w:cs="Calibri" w:eastAsia="Calibri" w:hAnsi="Calibri"/>
                <w:b w:val="1"/>
                <w:sz w:val="24"/>
                <w:szCs w:val="24"/>
                <w:rtl w:val="0"/>
              </w:rPr>
              <w:t xml:space="preserve">justification</w:t>
            </w:r>
            <w:r w:rsidDel="00000000" w:rsidR="00000000" w:rsidRPr="00000000">
              <w:rPr>
                <w:rFonts w:ascii="Calibri" w:cs="Calibri" w:eastAsia="Calibri" w:hAnsi="Calibri"/>
                <w:sz w:val="24"/>
                <w:szCs w:val="24"/>
                <w:rtl w:val="0"/>
              </w:rPr>
              <w:t xml:space="preserve"> to convince someone outside of this class that the data collected was biologically meaningful to answer the research question AND the </w:t>
            </w:r>
            <w:r w:rsidDel="00000000" w:rsidR="00000000" w:rsidRPr="00000000">
              <w:rPr>
                <w:rFonts w:ascii="Calibri" w:cs="Calibri" w:eastAsia="Calibri" w:hAnsi="Calibri"/>
                <w:b w:val="1"/>
                <w:sz w:val="24"/>
                <w:szCs w:val="24"/>
                <w:rtl w:val="0"/>
              </w:rPr>
              <w:t xml:space="preserve">reasons why</w:t>
            </w:r>
            <w:r w:rsidDel="00000000" w:rsidR="00000000" w:rsidRPr="00000000">
              <w:rPr>
                <w:rFonts w:ascii="Calibri" w:cs="Calibri" w:eastAsia="Calibri" w:hAnsi="Calibri"/>
                <w:sz w:val="24"/>
                <w:szCs w:val="24"/>
                <w:rtl w:val="0"/>
              </w:rPr>
              <w:t xml:space="preserve"> (given what we know about the biology of sagebrush) your claim about variation in seed weights is valid based on the evidence. This is important biological reasoning to support the validity of your claim.</w:t>
            </w:r>
          </w:p>
          <w:p w:rsidR="00000000" w:rsidDel="00000000" w:rsidP="00000000" w:rsidRDefault="00000000" w:rsidRPr="00000000" w14:paraId="000000A2">
            <w:pPr>
              <w:pageBreakBefore w:val="0"/>
              <w:spacing w:line="240" w:lineRule="auto"/>
              <w:jc w:val="cente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w:t>
            </w:r>
            <w:r w:rsidDel="00000000" w:rsidR="00000000" w:rsidRPr="00000000">
              <w:rPr>
                <w:rFonts w:ascii="Calibri" w:cs="Calibri" w:eastAsia="Calibri" w:hAnsi="Calibri"/>
                <w:sz w:val="24"/>
                <w:szCs w:val="24"/>
                <w:rtl w:val="0"/>
              </w:rPr>
              <w:t xml:space="preserve">#3; </w:t>
            </w:r>
            <w:r w:rsidDel="00000000" w:rsidR="00000000" w:rsidRPr="00000000">
              <w:rPr>
                <w:rFonts w:ascii="Calibri" w:cs="Calibri" w:eastAsia="Calibri" w:hAnsi="Calibri"/>
                <w:i w:val="1"/>
                <w:sz w:val="24"/>
                <w:szCs w:val="24"/>
                <w:rtl w:val="0"/>
              </w:rPr>
              <w:t xml:space="preserve">drawings and diagrams could be useful here too!)</w:t>
            </w:r>
          </w:p>
          <w:p w:rsidR="00000000" w:rsidDel="00000000" w:rsidP="00000000" w:rsidRDefault="00000000" w:rsidRPr="00000000" w14:paraId="000000A3">
            <w:pPr>
              <w:pageBreakBefore w:val="0"/>
              <w:spacing w:line="240" w:lineRule="auto"/>
              <w:jc w:val="center"/>
              <w:rPr>
                <w:rFonts w:ascii="Calibri" w:cs="Calibri" w:eastAsia="Calibri" w:hAnsi="Calibri"/>
                <w:i w:val="1"/>
                <w:sz w:val="24"/>
                <w:szCs w:val="24"/>
              </w:rPr>
            </w:pPr>
            <w:r w:rsidDel="00000000" w:rsidR="00000000" w:rsidRPr="00000000">
              <w:rPr>
                <w:rtl w:val="0"/>
              </w:rPr>
            </w:r>
          </w:p>
        </w:tc>
      </w:tr>
    </w:tbl>
    <w:p w:rsidR="00000000" w:rsidDel="00000000" w:rsidP="00000000" w:rsidRDefault="00000000" w:rsidRPr="00000000" w14:paraId="000000A5">
      <w:pPr>
        <w:pageBreakBefore w:val="0"/>
        <w:spacing w:line="240" w:lineRule="auto"/>
        <w:jc w:val="cente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Figure 2: Example of a whiteboard design that demonstrates space for the necessary components of an argument</w:t>
      </w:r>
    </w:p>
    <w:p w:rsidR="00000000" w:rsidDel="00000000" w:rsidP="00000000" w:rsidRDefault="00000000" w:rsidRPr="00000000" w14:paraId="000000A6">
      <w:pPr>
        <w:pageBreakBefore w:val="0"/>
        <w:spacing w:line="240" w:lineRule="auto"/>
        <w:ind w:firstLine="42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7">
      <w:pPr>
        <w:pageBreakBefore w:val="0"/>
        <w:spacing w:line="240" w:lineRule="auto"/>
        <w:ind w:firstLine="42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After each group has finished their argument, there will be a class discussion where your group can share your argument and ideas. You will likely hear arguments that differ from yours, in order to determine if their argument is convincing or not, consider the following questions (your group could also use them to evaluate your own argument!):</w:t>
      </w:r>
    </w:p>
    <w:p w:rsidR="00000000" w:rsidDel="00000000" w:rsidP="00000000" w:rsidRDefault="00000000" w:rsidRPr="00000000" w14:paraId="000000A8">
      <w:pPr>
        <w:pageBreakBefore w:val="0"/>
        <w:numPr>
          <w:ilvl w:val="0"/>
          <w:numId w:val="1"/>
        </w:numPr>
        <w:spacing w:line="240" w:lineRule="auto"/>
        <w:ind w:left="780" w:hanging="36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How was the data analyzed and why?</w:t>
      </w:r>
    </w:p>
    <w:p w:rsidR="00000000" w:rsidDel="00000000" w:rsidP="00000000" w:rsidRDefault="00000000" w:rsidRPr="00000000" w14:paraId="000000A9">
      <w:pPr>
        <w:pageBreakBefore w:val="0"/>
        <w:numPr>
          <w:ilvl w:val="1"/>
          <w:numId w:val="1"/>
        </w:numPr>
        <w:spacing w:line="240" w:lineRule="auto"/>
        <w:ind w:left="1500" w:hanging="36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Is that method free from errors? What are these errors and why or why not?</w:t>
      </w:r>
    </w:p>
    <w:p w:rsidR="00000000" w:rsidDel="00000000" w:rsidP="00000000" w:rsidRDefault="00000000" w:rsidRPr="00000000" w14:paraId="000000AA">
      <w:pPr>
        <w:pageBreakBefore w:val="0"/>
        <w:numPr>
          <w:ilvl w:val="0"/>
          <w:numId w:val="1"/>
        </w:numPr>
        <w:spacing w:line="240" w:lineRule="auto"/>
        <w:ind w:left="780" w:hanging="36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Why does the evidence support your claim?</w:t>
      </w:r>
    </w:p>
    <w:p w:rsidR="00000000" w:rsidDel="00000000" w:rsidP="00000000" w:rsidRDefault="00000000" w:rsidRPr="00000000" w14:paraId="000000AB">
      <w:pPr>
        <w:pageBreakBefore w:val="0"/>
        <w:numPr>
          <w:ilvl w:val="1"/>
          <w:numId w:val="1"/>
        </w:numPr>
        <w:spacing w:line="240" w:lineRule="auto"/>
        <w:ind w:left="1500" w:hanging="36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Why did you decide to use that particular evidence and not another?</w:t>
      </w:r>
    </w:p>
    <w:p w:rsidR="00000000" w:rsidDel="00000000" w:rsidP="00000000" w:rsidRDefault="00000000" w:rsidRPr="00000000" w14:paraId="000000AC">
      <w:pPr>
        <w:pageBreakBefore w:val="0"/>
        <w:numPr>
          <w:ilvl w:val="0"/>
          <w:numId w:val="1"/>
        </w:numPr>
        <w:spacing w:line="240" w:lineRule="auto"/>
        <w:ind w:left="780" w:hanging="36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Were there other claims your group explored before deciding on your current one? If so, why was that previous claim rejected?</w:t>
      </w:r>
    </w:p>
    <w:p w:rsidR="00000000" w:rsidDel="00000000" w:rsidP="00000000" w:rsidRDefault="00000000" w:rsidRPr="00000000" w14:paraId="000000AD">
      <w:pPr>
        <w:pageBreakBefore w:val="0"/>
        <w:numPr>
          <w:ilvl w:val="0"/>
          <w:numId w:val="1"/>
        </w:numPr>
        <w:spacing w:line="240" w:lineRule="auto"/>
        <w:ind w:left="780" w:hanging="36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Are there other factors that could be influencing the Sagebrush seed weights?</w:t>
      </w:r>
    </w:p>
    <w:p w:rsidR="00000000" w:rsidDel="00000000" w:rsidP="00000000" w:rsidRDefault="00000000" w:rsidRPr="00000000" w14:paraId="000000AE">
      <w:pPr>
        <w:pageBreakBefore w:val="0"/>
        <w:spacing w:line="240" w:lineRule="auto"/>
        <w:rPr>
          <w:rFonts w:ascii="Calibri" w:cs="Calibri" w:eastAsia="Calibri" w:hAnsi="Calibri"/>
          <w:b w:val="1"/>
          <w:sz w:val="24"/>
          <w:szCs w:val="24"/>
          <w:highlight w:val="yellow"/>
        </w:rPr>
      </w:pPr>
      <w:r w:rsidDel="00000000" w:rsidR="00000000" w:rsidRPr="00000000">
        <w:rPr>
          <w:rtl w:val="0"/>
        </w:rPr>
      </w:r>
    </w:p>
    <w:p w:rsidR="00000000" w:rsidDel="00000000" w:rsidP="00000000" w:rsidRDefault="00000000" w:rsidRPr="00000000" w14:paraId="000000AF">
      <w:pPr>
        <w:pageBreakBefore w:val="0"/>
        <w:spacing w:line="240"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References</w:t>
      </w:r>
    </w:p>
    <w:p w:rsidR="00000000" w:rsidDel="00000000" w:rsidP="00000000" w:rsidRDefault="00000000" w:rsidRPr="00000000" w14:paraId="000000B0">
      <w:pPr>
        <w:pageBreakBefore w:val="0"/>
        <w:spacing w:line="240" w:lineRule="auto"/>
        <w:rPr>
          <w:rFonts w:ascii="Calibri" w:cs="Calibri" w:eastAsia="Calibri" w:hAnsi="Calibri"/>
          <w:color w:val="222222"/>
          <w:sz w:val="24"/>
          <w:szCs w:val="24"/>
          <w:highlight w:val="white"/>
        </w:rPr>
      </w:pPr>
      <w:r w:rsidDel="00000000" w:rsidR="00000000" w:rsidRPr="00000000">
        <w:rPr>
          <w:rFonts w:ascii="Calibri" w:cs="Calibri" w:eastAsia="Calibri" w:hAnsi="Calibri"/>
          <w:color w:val="222222"/>
          <w:sz w:val="24"/>
          <w:szCs w:val="24"/>
          <w:highlight w:val="white"/>
          <w:rtl w:val="0"/>
        </w:rPr>
        <w:t xml:space="preserve">Busso, C. A., &amp; Perryman, B. L. (2005). Seed weight variation of Wyoming sagebrush in </w:t>
      </w:r>
    </w:p>
    <w:p w:rsidR="00000000" w:rsidDel="00000000" w:rsidP="00000000" w:rsidRDefault="00000000" w:rsidRPr="00000000" w14:paraId="000000B1">
      <w:pPr>
        <w:pageBreakBefore w:val="0"/>
        <w:spacing w:line="240" w:lineRule="auto"/>
        <w:ind w:firstLine="720"/>
        <w:rPr>
          <w:rFonts w:ascii="Calibri" w:cs="Calibri" w:eastAsia="Calibri" w:hAnsi="Calibri"/>
          <w:sz w:val="24"/>
          <w:szCs w:val="24"/>
        </w:rPr>
      </w:pPr>
      <w:r w:rsidDel="00000000" w:rsidR="00000000" w:rsidRPr="00000000">
        <w:rPr>
          <w:rFonts w:ascii="Calibri" w:cs="Calibri" w:eastAsia="Calibri" w:hAnsi="Calibri"/>
          <w:color w:val="222222"/>
          <w:sz w:val="24"/>
          <w:szCs w:val="24"/>
          <w:highlight w:val="white"/>
          <w:rtl w:val="0"/>
        </w:rPr>
        <w:t xml:space="preserve">Northern Nevada. </w:t>
      </w:r>
      <w:r w:rsidDel="00000000" w:rsidR="00000000" w:rsidRPr="00000000">
        <w:rPr>
          <w:rFonts w:ascii="Calibri" w:cs="Calibri" w:eastAsia="Calibri" w:hAnsi="Calibri"/>
          <w:i w:val="1"/>
          <w:color w:val="222222"/>
          <w:sz w:val="24"/>
          <w:szCs w:val="24"/>
          <w:highlight w:val="white"/>
          <w:rtl w:val="0"/>
        </w:rPr>
        <w:t xml:space="preserve">Biocell, </w:t>
      </w:r>
      <w:r w:rsidDel="00000000" w:rsidR="00000000" w:rsidRPr="00000000">
        <w:rPr>
          <w:rFonts w:ascii="Calibri" w:cs="Calibri" w:eastAsia="Calibri" w:hAnsi="Calibri"/>
          <w:color w:val="222222"/>
          <w:sz w:val="24"/>
          <w:szCs w:val="24"/>
          <w:highlight w:val="white"/>
          <w:rtl w:val="0"/>
        </w:rPr>
        <w:t xml:space="preserve">29(3), 279-285.</w:t>
      </w:r>
      <w:r w:rsidDel="00000000" w:rsidR="00000000" w:rsidRPr="00000000">
        <w:rPr>
          <w:rtl w:val="0"/>
        </w:rPr>
      </w:r>
    </w:p>
    <w:p w:rsidR="00000000" w:rsidDel="00000000" w:rsidP="00000000" w:rsidRDefault="00000000" w:rsidRPr="00000000" w14:paraId="000000B2">
      <w:pPr>
        <w:pageBreakBefore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Richardson, B. A., H. G. Ortiz, S. L. Carlson, D. M. Jaeger, and N. L. Shaw. 2015. Genetic and</w:t>
      </w:r>
    </w:p>
    <w:p w:rsidR="00000000" w:rsidDel="00000000" w:rsidP="00000000" w:rsidRDefault="00000000" w:rsidRPr="00000000" w14:paraId="000000B3">
      <w:pPr>
        <w:pageBreakBefore w:val="0"/>
        <w:spacing w:line="240" w:lineRule="auto"/>
        <w:ind w:firstLine="72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environmental effects on seed weight in subspecies of big sagebrush: applications for</w:t>
      </w:r>
    </w:p>
    <w:p w:rsidR="00000000" w:rsidDel="00000000" w:rsidP="00000000" w:rsidRDefault="00000000" w:rsidRPr="00000000" w14:paraId="000000B4">
      <w:pPr>
        <w:pageBreakBefore w:val="0"/>
        <w:spacing w:line="240" w:lineRule="auto"/>
        <w:ind w:firstLine="72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restoration. Ecosphere 6(10):201. http://dx.doi.org/ 10.1890/ES15-00249.1</w:t>
      </w:r>
    </w:p>
    <w:p w:rsidR="00000000" w:rsidDel="00000000" w:rsidP="00000000" w:rsidRDefault="00000000" w:rsidRPr="00000000" w14:paraId="000000B5">
      <w:pPr>
        <w:pageBreakBefore w:val="0"/>
        <w:spacing w:line="240" w:lineRule="auto"/>
        <w:rPr>
          <w:rFonts w:ascii="Calibri" w:cs="Calibri" w:eastAsia="Calibri" w:hAnsi="Calibri"/>
          <w:color w:val="222222"/>
          <w:sz w:val="24"/>
          <w:szCs w:val="24"/>
          <w:highlight w:val="white"/>
        </w:rPr>
      </w:pPr>
      <w:r w:rsidDel="00000000" w:rsidR="00000000" w:rsidRPr="00000000">
        <w:rPr>
          <w:rFonts w:ascii="Calibri" w:cs="Calibri" w:eastAsia="Calibri" w:hAnsi="Calibri"/>
          <w:color w:val="222222"/>
          <w:sz w:val="24"/>
          <w:szCs w:val="24"/>
          <w:highlight w:val="white"/>
          <w:rtl w:val="0"/>
        </w:rPr>
        <w:t xml:space="preserve">Schlaepfer, D. R., Lauenroth, W. K., &amp; Bradford, J. B. (2014). Natural regeneration processes in</w:t>
      </w:r>
    </w:p>
    <w:p w:rsidR="00000000" w:rsidDel="00000000" w:rsidP="00000000" w:rsidRDefault="00000000" w:rsidRPr="00000000" w14:paraId="000000B6">
      <w:pPr>
        <w:pageBreakBefore w:val="0"/>
        <w:spacing w:line="240" w:lineRule="auto"/>
        <w:ind w:firstLine="720"/>
        <w:rPr>
          <w:rFonts w:ascii="Calibri" w:cs="Calibri" w:eastAsia="Calibri" w:hAnsi="Calibri"/>
          <w:color w:val="222222"/>
          <w:sz w:val="24"/>
          <w:szCs w:val="24"/>
          <w:highlight w:val="white"/>
        </w:rPr>
      </w:pPr>
      <w:r w:rsidDel="00000000" w:rsidR="00000000" w:rsidRPr="00000000">
        <w:rPr>
          <w:rFonts w:ascii="Calibri" w:cs="Calibri" w:eastAsia="Calibri" w:hAnsi="Calibri"/>
          <w:color w:val="222222"/>
          <w:sz w:val="24"/>
          <w:szCs w:val="24"/>
          <w:highlight w:val="white"/>
          <w:rtl w:val="0"/>
        </w:rPr>
        <w:t xml:space="preserve">big sagebrush (Artemisia tridentata). </w:t>
      </w:r>
      <w:r w:rsidDel="00000000" w:rsidR="00000000" w:rsidRPr="00000000">
        <w:rPr>
          <w:rFonts w:ascii="Calibri" w:cs="Calibri" w:eastAsia="Calibri" w:hAnsi="Calibri"/>
          <w:i w:val="1"/>
          <w:color w:val="222222"/>
          <w:sz w:val="24"/>
          <w:szCs w:val="24"/>
          <w:highlight w:val="white"/>
          <w:rtl w:val="0"/>
        </w:rPr>
        <w:t xml:space="preserve">Rangeland Ecology &amp; Management</w:t>
      </w:r>
      <w:r w:rsidDel="00000000" w:rsidR="00000000" w:rsidRPr="00000000">
        <w:rPr>
          <w:rFonts w:ascii="Calibri" w:cs="Calibri" w:eastAsia="Calibri" w:hAnsi="Calibri"/>
          <w:color w:val="222222"/>
          <w:sz w:val="24"/>
          <w:szCs w:val="24"/>
          <w:highlight w:val="white"/>
          <w:rtl w:val="0"/>
        </w:rPr>
        <w:t xml:space="preserve">, </w:t>
      </w:r>
      <w:r w:rsidDel="00000000" w:rsidR="00000000" w:rsidRPr="00000000">
        <w:rPr>
          <w:rFonts w:ascii="Calibri" w:cs="Calibri" w:eastAsia="Calibri" w:hAnsi="Calibri"/>
          <w:i w:val="1"/>
          <w:color w:val="222222"/>
          <w:sz w:val="24"/>
          <w:szCs w:val="24"/>
          <w:highlight w:val="white"/>
          <w:rtl w:val="0"/>
        </w:rPr>
        <w:t xml:space="preserve">67</w:t>
      </w:r>
      <w:r w:rsidDel="00000000" w:rsidR="00000000" w:rsidRPr="00000000">
        <w:rPr>
          <w:rFonts w:ascii="Calibri" w:cs="Calibri" w:eastAsia="Calibri" w:hAnsi="Calibri"/>
          <w:color w:val="222222"/>
          <w:sz w:val="24"/>
          <w:szCs w:val="24"/>
          <w:highlight w:val="white"/>
          <w:rtl w:val="0"/>
        </w:rPr>
        <w:t xml:space="preserve">(4),</w:t>
      </w:r>
    </w:p>
    <w:p w:rsidR="00000000" w:rsidDel="00000000" w:rsidP="00000000" w:rsidRDefault="00000000" w:rsidRPr="00000000" w14:paraId="000000B7">
      <w:pPr>
        <w:pageBreakBefore w:val="0"/>
        <w:spacing w:line="240" w:lineRule="auto"/>
        <w:ind w:left="720" w:firstLine="0"/>
        <w:rPr>
          <w:rFonts w:ascii="Calibri" w:cs="Calibri" w:eastAsia="Calibri" w:hAnsi="Calibri"/>
          <w:sz w:val="24"/>
          <w:szCs w:val="24"/>
        </w:rPr>
      </w:pPr>
      <w:r w:rsidDel="00000000" w:rsidR="00000000" w:rsidRPr="00000000">
        <w:rPr>
          <w:rFonts w:ascii="Calibri" w:cs="Calibri" w:eastAsia="Calibri" w:hAnsi="Calibri"/>
          <w:color w:val="222222"/>
          <w:sz w:val="24"/>
          <w:szCs w:val="24"/>
          <w:highlight w:val="white"/>
          <w:rtl w:val="0"/>
        </w:rPr>
        <w:t xml:space="preserve">344-357.</w:t>
      </w:r>
      <w:r w:rsidDel="00000000" w:rsidR="00000000" w:rsidRPr="00000000">
        <w:rPr>
          <w:rtl w:val="0"/>
        </w:rPr>
      </w:r>
    </w:p>
    <w:p w:rsidR="00000000" w:rsidDel="00000000" w:rsidP="00000000" w:rsidRDefault="00000000" w:rsidRPr="00000000" w14:paraId="000000B8">
      <w:pPr>
        <w:pageBreakBefore w:val="0"/>
        <w:spacing w:line="240" w:lineRule="auto"/>
        <w:rPr>
          <w:rFonts w:ascii="Calibri" w:cs="Calibri" w:eastAsia="Calibri" w:hAnsi="Calibri"/>
          <w:sz w:val="28"/>
          <w:szCs w:val="28"/>
        </w:rPr>
      </w:pPr>
      <w:r w:rsidDel="00000000" w:rsidR="00000000" w:rsidRPr="00000000">
        <w:rPr>
          <w:rtl w:val="0"/>
        </w:rPr>
      </w:r>
    </w:p>
    <w:p w:rsidR="00000000" w:rsidDel="00000000" w:rsidP="00000000" w:rsidRDefault="00000000" w:rsidRPr="00000000" w14:paraId="000000B9">
      <w:pPr>
        <w:pageBreakBefore w:val="0"/>
        <w:spacing w:after="0" w:line="240" w:lineRule="auto"/>
        <w:rPr>
          <w:rFonts w:ascii="Calibri" w:cs="Calibri" w:eastAsia="Calibri" w:hAnsi="Calibri"/>
          <w:b w:val="1"/>
          <w:sz w:val="24"/>
          <w:szCs w:val="24"/>
        </w:rPr>
        <w:sectPr>
          <w:type w:val="nextPage"/>
          <w:pgSz w:h="15840" w:w="12240" w:orient="portrait"/>
          <w:pgMar w:bottom="1440" w:top="1440" w:left="1440" w:right="1440" w:header="720" w:footer="720"/>
        </w:sectPr>
      </w:pPr>
      <w:r w:rsidDel="00000000" w:rsidR="00000000" w:rsidRPr="00000000">
        <w:rPr>
          <w:rtl w:val="0"/>
        </w:rPr>
      </w:r>
    </w:p>
    <w:p w:rsidR="00000000" w:rsidDel="00000000" w:rsidP="00000000" w:rsidRDefault="00000000" w:rsidRPr="00000000" w14:paraId="000000BA">
      <w:pPr>
        <w:pageBreakBefore w:val="0"/>
        <w:spacing w:after="0" w:line="240"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BB">
      <w:pPr>
        <w:pageBreakBefore w:val="0"/>
        <w:spacing w:after="0" w:line="240" w:lineRule="auto"/>
        <w:ind w:left="0" w:firstLine="72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C">
      <w:pPr>
        <w:pageBreakBefore w:val="0"/>
        <w:spacing w:after="0" w:line="240"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BD">
      <w:pPr>
        <w:pageBreakBefore w:val="0"/>
        <w:spacing w:after="0" w:line="240"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BE">
      <w:pPr>
        <w:pageBreakBefore w:val="0"/>
        <w:spacing w:after="0" w:line="240"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BF">
      <w:pPr>
        <w:pageBreakBefore w:val="0"/>
        <w:spacing w:after="0" w:line="240"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C0">
      <w:pPr>
        <w:pageBreakBefore w:val="0"/>
        <w:spacing w:after="0" w:line="240"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C1">
      <w:pPr>
        <w:pageBreakBefore w:val="0"/>
        <w:spacing w:after="0" w:line="240"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C2">
      <w:pPr>
        <w:pageBreakBefore w:val="0"/>
        <w:spacing w:after="0" w:line="240"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C3">
      <w:pPr>
        <w:pageBreakBefore w:val="0"/>
        <w:spacing w:after="0" w:line="240"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C4">
      <w:pPr>
        <w:pageBreakBefore w:val="0"/>
        <w:spacing w:after="0" w:line="240"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C5">
      <w:pPr>
        <w:pageBreakBefore w:val="0"/>
        <w:spacing w:after="0" w:line="240"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C6">
      <w:pPr>
        <w:pageBreakBefore w:val="0"/>
        <w:spacing w:after="0" w:line="240"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C7">
      <w:pPr>
        <w:pageBreakBefore w:val="0"/>
        <w:spacing w:after="0" w:line="240" w:lineRule="auto"/>
        <w:rPr>
          <w:rFonts w:ascii="Calibri" w:cs="Calibri" w:eastAsia="Calibri" w:hAnsi="Calibri"/>
          <w:i w:val="1"/>
          <w:sz w:val="24"/>
          <w:szCs w:val="24"/>
        </w:rPr>
        <w:sectPr>
          <w:type w:val="nextPage"/>
          <w:pgSz w:h="15840" w:w="12240" w:orient="portrait"/>
          <w:pgMar w:bottom="1440" w:top="1440" w:left="1440" w:right="1440" w:header="720" w:footer="720"/>
        </w:sectPr>
      </w:pPr>
      <w:r w:rsidDel="00000000" w:rsidR="00000000" w:rsidRPr="00000000">
        <w:rPr>
          <w:rtl w:val="0"/>
        </w:rPr>
      </w:r>
    </w:p>
    <w:p w:rsidR="00000000" w:rsidDel="00000000" w:rsidP="00000000" w:rsidRDefault="00000000" w:rsidRPr="00000000" w14:paraId="000000C8">
      <w:pPr>
        <w:rPr/>
      </w:pPr>
      <w:r w:rsidDel="00000000" w:rsidR="00000000" w:rsidRPr="00000000">
        <w:rPr>
          <w:rtl w:val="0"/>
        </w:rPr>
      </w:r>
    </w:p>
    <w:sectPr>
      <w:type w:val="nextPage"/>
      <w:pgSz w:h="15840" w:w="12240" w:orient="portrait"/>
      <w:pgMar w:bottom="1440" w:top="1440" w:left="1440"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ourier New"/>
  <w:font w:name="Noto Sans Symbol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80" w:hanging="360"/>
      </w:pPr>
      <w:rPr>
        <w:rFonts w:ascii="Noto Sans Symbols" w:cs="Noto Sans Symbols" w:eastAsia="Noto Sans Symbols" w:hAnsi="Noto Sans Symbols"/>
      </w:rPr>
    </w:lvl>
    <w:lvl w:ilvl="1">
      <w:start w:val="1"/>
      <w:numFmt w:val="bullet"/>
      <w:lvlText w:val="o"/>
      <w:lvlJc w:val="left"/>
      <w:pPr>
        <w:ind w:left="1500" w:hanging="360"/>
      </w:pPr>
      <w:rPr>
        <w:rFonts w:ascii="Courier New" w:cs="Courier New" w:eastAsia="Courier New" w:hAnsi="Courier New"/>
      </w:rPr>
    </w:lvl>
    <w:lvl w:ilvl="2">
      <w:start w:val="1"/>
      <w:numFmt w:val="bullet"/>
      <w:lvlText w:val="▪"/>
      <w:lvlJc w:val="left"/>
      <w:pPr>
        <w:ind w:left="2220" w:hanging="360"/>
      </w:pPr>
      <w:rPr>
        <w:rFonts w:ascii="Noto Sans Symbols" w:cs="Noto Sans Symbols" w:eastAsia="Noto Sans Symbols" w:hAnsi="Noto Sans Symbols"/>
      </w:rPr>
    </w:lvl>
    <w:lvl w:ilvl="3">
      <w:start w:val="1"/>
      <w:numFmt w:val="bullet"/>
      <w:lvlText w:val="●"/>
      <w:lvlJc w:val="left"/>
      <w:pPr>
        <w:ind w:left="2940" w:hanging="360"/>
      </w:pPr>
      <w:rPr>
        <w:rFonts w:ascii="Noto Sans Symbols" w:cs="Noto Sans Symbols" w:eastAsia="Noto Sans Symbols" w:hAnsi="Noto Sans Symbols"/>
      </w:rPr>
    </w:lvl>
    <w:lvl w:ilvl="4">
      <w:start w:val="1"/>
      <w:numFmt w:val="bullet"/>
      <w:lvlText w:val="o"/>
      <w:lvlJc w:val="left"/>
      <w:pPr>
        <w:ind w:left="3660" w:hanging="360"/>
      </w:pPr>
      <w:rPr>
        <w:rFonts w:ascii="Courier New" w:cs="Courier New" w:eastAsia="Courier New" w:hAnsi="Courier New"/>
      </w:rPr>
    </w:lvl>
    <w:lvl w:ilvl="5">
      <w:start w:val="1"/>
      <w:numFmt w:val="bullet"/>
      <w:lvlText w:val="▪"/>
      <w:lvlJc w:val="left"/>
      <w:pPr>
        <w:ind w:left="4380" w:hanging="360"/>
      </w:pPr>
      <w:rPr>
        <w:rFonts w:ascii="Noto Sans Symbols" w:cs="Noto Sans Symbols" w:eastAsia="Noto Sans Symbols" w:hAnsi="Noto Sans Symbols"/>
      </w:rPr>
    </w:lvl>
    <w:lvl w:ilvl="6">
      <w:start w:val="1"/>
      <w:numFmt w:val="bullet"/>
      <w:lvlText w:val="●"/>
      <w:lvlJc w:val="left"/>
      <w:pPr>
        <w:ind w:left="5100" w:hanging="360"/>
      </w:pPr>
      <w:rPr>
        <w:rFonts w:ascii="Noto Sans Symbols" w:cs="Noto Sans Symbols" w:eastAsia="Noto Sans Symbols" w:hAnsi="Noto Sans Symbols"/>
      </w:rPr>
    </w:lvl>
    <w:lvl w:ilvl="7">
      <w:start w:val="1"/>
      <w:numFmt w:val="bullet"/>
      <w:lvlText w:val="o"/>
      <w:lvlJc w:val="left"/>
      <w:pPr>
        <w:ind w:left="5820" w:hanging="360"/>
      </w:pPr>
      <w:rPr>
        <w:rFonts w:ascii="Courier New" w:cs="Courier New" w:eastAsia="Courier New" w:hAnsi="Courier New"/>
      </w:rPr>
    </w:lvl>
    <w:lvl w:ilvl="8">
      <w:start w:val="1"/>
      <w:numFmt w:val="bullet"/>
      <w:lvlText w:val="▪"/>
      <w:lvlJc w:val="left"/>
      <w:pPr>
        <w:ind w:left="6540" w:hanging="360"/>
      </w:pPr>
      <w:rPr>
        <w:rFonts w:ascii="Noto Sans Symbols" w:cs="Noto Sans Symbols" w:eastAsia="Noto Sans Symbols" w:hAnsi="Noto Sans Symbols"/>
      </w:rPr>
    </w:lvl>
  </w:abstractNum>
  <w:abstractNum w:abstractNumId="2">
    <w:lvl w:ilvl="0">
      <w:start w:val="1"/>
      <w:numFmt w:val="decimal"/>
      <w:lvlText w:val="%1."/>
      <w:lvlJc w:val="left"/>
      <w:pPr>
        <w:ind w:left="720" w:hanging="360"/>
      </w:pP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hyperlink" Target="https://www.google.com/maps/d/u/0/edit?mid=1v60XX5-LP7vPmBCvjr1ad_eqH7YnR9B8&amp;usp=shari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