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222222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222222"/>
          <w:sz w:val="21"/>
          <w:szCs w:val="21"/>
          <w:rtl w:val="0"/>
        </w:rPr>
        <w:t xml:space="preserve">ZOOL409 Study Session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222222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222222"/>
          <w:sz w:val="21"/>
          <w:szCs w:val="21"/>
          <w:rtl w:val="0"/>
        </w:rPr>
        <w:t xml:space="preserve">5 September 2017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color w:val="222222"/>
          <w:sz w:val="21"/>
          <w:szCs w:val="2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1"/>
          <w:szCs w:val="21"/>
          <w:u w:val="single"/>
          <w:rtl w:val="0"/>
        </w:rPr>
        <w:t xml:space="preserve">Analyzing Standard Curve and Dilution Data: How-To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Average your replicated absorbance values for standards and unknown samples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Select dilution factor of unknown samples with average absorbance values that fall within the average absorbance values of your standard curve range.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Subtract your averaged blank absorbance value from all other (standards and unknown samples) average absorbance values (this is your average blank corrected absorbance)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Graph your known average absorbance standard concentrations against their calculated absorbance values. Make sure you keep your units consistent using the units you used to set up your 96-well plate.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Fit a linear trendline and display the equation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 build your standard curve equation from your plate reader graph output, if provided. Do not include the zero concentration.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Make sure you use consistent units.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Use your standard curve equation to calculate the concentrations (keep track of units) of your diluted blank-corrected unknown samples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y=mx+b, solve for x, where y = average absorbance of diluted blank-corrected unknown sample, m = slope, x = concentration of your standard in correct units using in your equation, b = intercept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Correct for dilution factor of your newly calculated concentration of the diluted blank-corrected unknown samples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Multiple concentration value by your dilution factor (e.g. 1:5 dilution = multiply calculated concentration by 5)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Depending on what hypothesis you are testing, run statistics on your results.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See “ChoosingStatisticalTestFlowChart” for guidance, focusing on regression and ANOVAs.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Report statistical results properly (F-stat with degrees of freedom and p values).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